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6.jpeg" ContentType="image/jpeg"/>
  <Override PartName="/word/media/image4.png" ContentType="image/png"/>
  <Override PartName="/word/media/image11.png" ContentType="image/png"/>
  <Override PartName="/word/media/image5.jpeg" ContentType="image/jpeg"/>
  <Override PartName="/word/media/image9.png" ContentType="image/png"/>
  <Override PartName="/word/media/image7.jpeg" ContentType="image/jpeg"/>
  <Override PartName="/word/media/image8.jpeg" ContentType="image/jpeg"/>
  <Override PartName="/word/media/image10.png" ContentType="image/png"/>
  <Override PartName="/word/media/image12.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jc w:val="center"/>
        <w:rPr>
          <w:rFonts w:ascii="Times New Roman" w:hAnsi="Times New Roman" w:cs="Times New Roman"/>
          <w:b/>
          <w:b/>
        </w:rPr>
      </w:pPr>
      <w:r>
        <w:rPr>
          <w:rFonts w:cs="Times New Roman" w:ascii="Times New Roman" w:hAnsi="Times New Roman"/>
          <w:b/>
        </w:rPr>
      </w:r>
    </w:p>
    <w:p>
      <w:pPr>
        <w:pStyle w:val="Normal"/>
        <w:spacing w:before="120" w:after="120"/>
        <w:rPr>
          <w:rFonts w:ascii="Times New Roman" w:hAnsi="Times New Roman" w:cs="Times New Roman"/>
          <w:sz w:val="28"/>
          <w:szCs w:val="28"/>
        </w:rPr>
      </w:pPr>
      <w:r>
        <w:rPr>
          <w:rFonts w:cs="Times New Roman" w:ascii="Times New Roman" w:hAnsi="Times New Roman"/>
          <w:sz w:val="28"/>
          <w:szCs w:val="28"/>
        </w:rPr>
      </w:r>
    </w:p>
    <w:p>
      <w:pPr>
        <w:pStyle w:val="Normal"/>
        <w:spacing w:before="120" w:after="12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120" w:after="120"/>
        <w:rPr>
          <w:rFonts w:ascii="Times New Roman" w:hAnsi="Times New Roman" w:cs="Times New Roman"/>
          <w:b/>
          <w:b/>
          <w:sz w:val="28"/>
          <w:szCs w:val="28"/>
        </w:rPr>
      </w:pPr>
      <w:r>
        <w:rPr>
          <w:rFonts w:cs="Times New Roman" w:ascii="Times New Roman" w:hAnsi="Times New Roman"/>
          <w:b/>
          <w:sz w:val="28"/>
          <w:szCs w:val="28"/>
        </w:rPr>
      </w:r>
    </w:p>
    <w:p>
      <w:pPr>
        <w:pStyle w:val="Normal"/>
        <w:spacing w:before="120" w:after="120"/>
        <w:rPr>
          <w:rFonts w:ascii="Times New Roman" w:hAnsi="Times New Roman" w:cs="Times New Roman"/>
          <w:b/>
          <w:b/>
          <w:sz w:val="28"/>
          <w:szCs w:val="28"/>
        </w:rPr>
      </w:pPr>
      <w:r>
        <w:rPr>
          <w:rFonts w:cs="Times New Roman" w:ascii="Times New Roman" w:hAnsi="Times New Roman"/>
          <w:b/>
          <w:sz w:val="28"/>
          <w:szCs w:val="28"/>
        </w:rPr>
      </w:r>
    </w:p>
    <w:p>
      <w:pPr>
        <w:pStyle w:val="Normal"/>
        <w:spacing w:before="120" w:after="12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120" w:after="120"/>
        <w:jc w:val="center"/>
        <w:rPr/>
      </w:pPr>
      <w:r>
        <w:rPr>
          <w:rFonts w:cs="Times New Roman" w:ascii="Times New Roman" w:hAnsi="Times New Roman"/>
          <w:b/>
          <w:u w:val="single"/>
        </w:rPr>
        <w:t>TERMO DE REFERÊNCIA PARA ELABORAÇÃO DO PLANO DE DESENVOLVIMENTO TERRITORIAL DO TURISMO</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rPr>
      </w:pPr>
      <w:r>
        <w:rPr>
          <w:rFonts w:cs="Times New Roman" w:ascii="Times New Roman" w:hAnsi="Times New Roman"/>
          <w:b/>
        </w:rPr>
        <w:t>Nova Trento – 04 de Julho de 2018</w:t>
      </w:r>
    </w:p>
    <w:p>
      <w:pPr>
        <w:pStyle w:val="Normal"/>
        <w:spacing w:before="120" w:after="120"/>
        <w:jc w:val="center"/>
        <w:rPr>
          <w:rFonts w:ascii="Times New Roman" w:hAnsi="Times New Roman" w:cs="Times New Roman"/>
          <w:b/>
          <w:b/>
        </w:rPr>
      </w:pPr>
      <w:r>
        <w:rPr>
          <w:rFonts w:cs="Times New Roman" w:ascii="Times New Roman" w:hAnsi="Times New Roman"/>
          <w:b/>
        </w:rPr>
        <w:t>TERMO DE REFERÊNCIA PARA A ELABORAÇÃO DE PLANO DE DESENVOLVIMENTO TERRITORIAL DO TURISMO</w:t>
      </w:r>
    </w:p>
    <w:p>
      <w:pPr>
        <w:pStyle w:val="Normal"/>
        <w:spacing w:before="120" w:after="120"/>
        <w:ind w:left="907" w:hanging="0"/>
        <w:jc w:val="center"/>
        <w:rPr>
          <w:rFonts w:ascii="Times New Roman" w:hAnsi="Times New Roman" w:cs="Times New Roman"/>
        </w:rPr>
      </w:pPr>
      <w:r>
        <w:rPr>
          <w:rFonts w:cs="Times New Roman" w:ascii="Times New Roman" w:hAnsi="Times New Roman"/>
        </w:rPr>
      </w:r>
    </w:p>
    <w:p>
      <w:pPr>
        <w:pStyle w:val="Normal"/>
        <w:numPr>
          <w:ilvl w:val="0"/>
          <w:numId w:val="1"/>
        </w:numPr>
        <w:tabs>
          <w:tab w:val="left" w:pos="-153" w:leader="none"/>
        </w:tabs>
        <w:suppressAutoHyphens w:val="false"/>
        <w:spacing w:before="240" w:after="240"/>
        <w:textAlignment w:val="auto"/>
        <w:rPr>
          <w:rFonts w:ascii="Times New Roman" w:hAnsi="Times New Roman" w:cs="Times New Roman"/>
          <w:b/>
          <w:b/>
          <w:bCs/>
        </w:rPr>
      </w:pPr>
      <w:r>
        <w:rPr>
          <w:rFonts w:cs="Times New Roman" w:ascii="Times New Roman" w:hAnsi="Times New Roman"/>
          <w:b/>
          <w:bCs/>
        </w:rPr>
        <w:t>CONTEXTO</w:t>
      </w:r>
    </w:p>
    <w:p>
      <w:pPr>
        <w:pStyle w:val="Normal"/>
        <w:spacing w:before="120" w:after="120"/>
        <w:jc w:val="both"/>
        <w:rPr>
          <w:rFonts w:ascii="Times New Roman" w:hAnsi="Times New Roman" w:cs="Times New Roman"/>
        </w:rPr>
      </w:pPr>
      <w:r>
        <w:rPr>
          <w:rFonts w:cs="Times New Roman" w:ascii="Times New Roman" w:hAnsi="Times New Roman"/>
        </w:rPr>
        <w:t xml:space="preserve">A atuação do Ministério do Turismo é orientada pelas diretrizes definidas no Plano Nacional de Turismo, que estruturam um conjunto de estratégias e ações que norteiam o desenvolvimento do turismo brasileiro, alinhadas com as ações do Governo Federal e com o Plano Plurianual. </w:t>
      </w:r>
    </w:p>
    <w:p>
      <w:pPr>
        <w:pStyle w:val="Normal"/>
        <w:spacing w:before="120" w:after="120"/>
        <w:jc w:val="both"/>
        <w:rPr/>
      </w:pPr>
      <w:r>
        <w:rPr>
          <w:rFonts w:cs="Times New Roman" w:ascii="Times New Roman" w:hAnsi="Times New Roman"/>
        </w:rPr>
        <w:t>A multidisciplinaridade do setor, os impactos econômicos, sociais, ambientais e culturais gerados pelo turismo exigem um processo de planejamento e gestão que oriente, discipline e se constitua em um importante instrumento para o desenvolvimento da atividade nos níveis local, regional e nacional.</w:t>
      </w:r>
    </w:p>
    <w:p>
      <w:pPr>
        <w:pStyle w:val="Normal"/>
        <w:spacing w:before="120" w:after="120"/>
        <w:jc w:val="both"/>
        <w:rPr>
          <w:rFonts w:ascii="Times New Roman" w:hAnsi="Times New Roman" w:cs="Times New Roman"/>
        </w:rPr>
      </w:pPr>
      <w:r>
        <w:rPr>
          <w:rFonts w:cs="Times New Roman" w:ascii="Times New Roman" w:hAnsi="Times New Roman"/>
        </w:rPr>
        <w:t xml:space="preserve">A importância da atividade turística como indutora do desenvolvimento depende não somente da existência dos recursos naturais e culturais, mas de uma ação de planejamento e gestão eficaz e integrada entre o poder público e a iniciativa privada. Dessa forma, é preciso incorporar um conjunto de ações estruturadoras que elevem o nível de atratividade e competitividade desses recursos, de modo a transformá-los, efetivamente, em produtos turísticos. </w:t>
      </w:r>
    </w:p>
    <w:p>
      <w:pPr>
        <w:pStyle w:val="Normal"/>
        <w:spacing w:before="120" w:after="120"/>
        <w:jc w:val="both"/>
        <w:rPr>
          <w:rFonts w:ascii="Times New Roman" w:hAnsi="Times New Roman" w:cs="Times New Roman"/>
        </w:rPr>
      </w:pPr>
      <w:r>
        <w:rPr>
          <w:rFonts w:cs="Times New Roman" w:ascii="Times New Roman" w:hAnsi="Times New Roman"/>
        </w:rPr>
        <w:t>Deste modo, cabe ao Ministério do Turismo promover, considerando as diretrizes do Plano Nacional de Turismo e do Programa de Regionalização do Turismo, a convergência das ações do MTur e do conjunto das políticas públicas setoriais nas regiões com foco na estruturação dos destinos turísticos.</w:t>
      </w:r>
    </w:p>
    <w:p>
      <w:pPr>
        <w:pStyle w:val="Normal"/>
        <w:spacing w:before="120" w:after="120"/>
        <w:jc w:val="both"/>
        <w:rPr>
          <w:rFonts w:ascii="Times New Roman" w:hAnsi="Times New Roman" w:cs="Times New Roman"/>
        </w:rPr>
      </w:pPr>
      <w:r>
        <w:rPr>
          <w:rFonts w:cs="Times New Roman" w:ascii="Times New Roman" w:hAnsi="Times New Roman"/>
        </w:rPr>
        <w:t>Para o Ministério do Turismo, o processo de estruturação de destinos consiste em atuar a partir dos eixos do Programa de Regionalização do Turismo, em parceria com as Unidades da Federação, regiões e municípios, tendo como base seus respectivos níveis de desenvolvimento turístico.</w:t>
      </w:r>
    </w:p>
    <w:p>
      <w:pPr>
        <w:pStyle w:val="Normal"/>
        <w:spacing w:before="120" w:after="120"/>
        <w:jc w:val="both"/>
        <w:rPr>
          <w:rFonts w:ascii="Times New Roman" w:hAnsi="Times New Roman" w:cs="Times New Roman"/>
        </w:rPr>
      </w:pPr>
      <w:r>
        <w:rPr>
          <w:rFonts w:cs="Times New Roman" w:ascii="Times New Roman" w:hAnsi="Times New Roman"/>
        </w:rPr>
        <w:t>Para alcançar seus objetivos, o MTur apoiará a elaboração, a implementação e o financiamento de planos e projetos, fundamentados nos eixos de atuação do Programa de Regionalização do Turismo, que orientam as ações estratégicas de apoio à gestão, estruturação e promoção do turismo, que são traduzidas em 08 (oito) eixos de atuação e respectivas ações estratégicas:</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 xml:space="preserve">Gestão Descentralizada do Turismo </w:t>
      </w:r>
    </w:p>
    <w:p>
      <w:pPr>
        <w:pStyle w:val="Normal"/>
        <w:spacing w:before="120" w:after="120"/>
        <w:jc w:val="both"/>
        <w:rPr>
          <w:rFonts w:ascii="Times New Roman" w:hAnsi="Times New Roman" w:cs="Times New Roman"/>
          <w:szCs w:val="20"/>
        </w:rPr>
      </w:pPr>
      <w:r>
        <w:rPr>
          <w:rFonts w:cs="Times New Roman" w:ascii="Times New Roman" w:hAnsi="Times New Roman"/>
          <w:szCs w:val="20"/>
        </w:rPr>
        <w:t xml:space="preserve">Efetivar a gestão descentralizada do turismo, de forma a articular e responder às demandas do setor, fortalecer a participação social, integrando as políticas públicas, compreendendo e atuando para, dentre outros: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elaborar estudos estratégicos para o fortalecimento da política de turismo;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apoiar a organização dos municípios, estados e regiões turísticas;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apoiar a sensibilização e mobilização das comunidades e agentes turísticos;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fortalecer as instâncias de governança de suporte à gestão descentralizada do turismo estadual, municipal, regional e macrorregional;</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articular e fortalecer os arranjos institucionais e setoriais;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apoiar ações de fortalecimento dos entes que integram o Sistema Nacional de Turismo por meio da realização de seminários e oficinas de trabalho;</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apoiar a produção de material técnico, didático, institucional e a realização de estudos para subsidiar a implementação de ações de fortalecimento do turismo;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observar as boas práticas, experiências e disseminação de conhecimento.</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Planejamento e Posicionamento de Mercado</w:t>
      </w:r>
    </w:p>
    <w:p>
      <w:pPr>
        <w:pStyle w:val="Normal"/>
        <w:spacing w:before="120" w:after="120"/>
        <w:jc w:val="both"/>
        <w:rPr>
          <w:rFonts w:ascii="Times New Roman" w:hAnsi="Times New Roman" w:cs="Times New Roman"/>
          <w:szCs w:val="20"/>
        </w:rPr>
      </w:pPr>
      <w:r>
        <w:rPr>
          <w:rFonts w:cs="Times New Roman" w:ascii="Times New Roman" w:hAnsi="Times New Roman"/>
          <w:szCs w:val="20"/>
        </w:rPr>
        <w:t>A partir de dados e informações coletadas, subsidiar o planejamento e desenvolvimento de produtos turísticos (destinos, roteiros, serviços) a partir de elementos de identidade da oferta turística, observadas, também as características da demanda (público-alvo). O que se prevê é a utilização da segmentação turística desde o planejamento estratégico do território ao posicionamento dos produtos turísticos. Com isso, agrega-se atratividade à oferta turística, consolidam-se os produtos existentes e incentiva-se a inserção de novos produtos turísticos de qualidade nos mercados nacional e internacional. Consiste principalmente em:</w:t>
      </w:r>
    </w:p>
    <w:p>
      <w:pPr>
        <w:pStyle w:val="Normal"/>
        <w:numPr>
          <w:ilvl w:val="0"/>
          <w:numId w:val="3"/>
        </w:numPr>
        <w:suppressAutoHyphens w:val="false"/>
        <w:spacing w:before="120" w:after="120"/>
        <w:ind w:left="714" w:hanging="357"/>
        <w:jc w:val="both"/>
        <w:textAlignment w:val="auto"/>
        <w:rPr/>
      </w:pPr>
      <w:r>
        <w:rPr>
          <w:rFonts w:cs="Times New Roman" w:ascii="Times New Roman" w:hAnsi="Times New Roman"/>
          <w:szCs w:val="20"/>
        </w:rPr>
        <w:t>apoiar a elaboração, implementação, monitoramento e avaliação de planos estratégicos de desenvolvimento do turismo, i</w:t>
      </w:r>
      <w:r>
        <w:rPr>
          <w:rFonts w:cs="Times New Roman" w:ascii="Times New Roman" w:hAnsi="Times New Roman"/>
        </w:rPr>
        <w:t>ncorporando a dimensão ambiental, visando antever possíveis impactos ambientais no momento da formulação do planejamento;</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realizar estudos para a identificação e fortalecimento de produtos ou roteiros turísticos a serem desenvolvidos;</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formatar, posicionar ou reposicionar produtos turísticos; </w:t>
      </w:r>
    </w:p>
    <w:p>
      <w:pPr>
        <w:pStyle w:val="Normal"/>
        <w:numPr>
          <w:ilvl w:val="0"/>
          <w:numId w:val="3"/>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realizar estudos e pesquisas acerca da oferta e demanda turística segmentada.</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 xml:space="preserve">Qualificação Profissional, dos Serviços e da Produção Associada </w:t>
      </w:r>
    </w:p>
    <w:p>
      <w:pPr>
        <w:pStyle w:val="Normal"/>
        <w:spacing w:before="120" w:after="120"/>
        <w:jc w:val="both"/>
        <w:rPr>
          <w:rFonts w:ascii="Times New Roman" w:hAnsi="Times New Roman" w:cs="Times New Roman"/>
          <w:szCs w:val="20"/>
        </w:rPr>
      </w:pPr>
      <w:r>
        <w:rPr>
          <w:rFonts w:cs="Times New Roman" w:ascii="Times New Roman" w:hAnsi="Times New Roman"/>
          <w:szCs w:val="20"/>
        </w:rPr>
        <w:t xml:space="preserve">Inovação e competitividade de produtos e serviços advêm com o setor formalizado, regulado, qualificado e diversificado, integrando a diversidade das expressões culturais, agregando valor em todas as etapas dos seus processos de produção e operação, possibilitando a dinamização econômica das atividades nos territórios. Para tanto, torna-se necessário, dentre outros: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mobilizar os prestadores de serviços turísticos para a formalização e cadastro no Sistema de Cadastro dos Prestadores de Serviço Turístico;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informar o consumidor sobre a importância de se adquirir produtos de prestadores regularmente cadastrados no Cadastur;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fomentar a classificação dos empreendimentos e equipamentos turísticos e adoção dos referenciais de qualidade definidos pelo Ministério do Turismo;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fiscalizar prestadores de serviços turísticos nos Estados e municípios;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identificar demanda de qualificação profissional e empresarial;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estabelecer padrões e normas de atendimento;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qualificar profissionais e empresas;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desenvolver sistema de monitoramento e avaliação da qualificação realizada;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promover certificação profissional;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levantar demanda de ações para o fomento e integração da produção associada ao turismo;</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 xml:space="preserve">organizar e qualificar a produção associada ao turismo; </w:t>
      </w:r>
    </w:p>
    <w:p>
      <w:pPr>
        <w:pStyle w:val="Normal"/>
        <w:numPr>
          <w:ilvl w:val="0"/>
          <w:numId w:val="3"/>
        </w:numPr>
        <w:suppressAutoHyphens w:val="false"/>
        <w:spacing w:before="120" w:after="120"/>
        <w:jc w:val="both"/>
        <w:textAlignment w:val="auto"/>
        <w:rPr>
          <w:rFonts w:ascii="Times New Roman" w:hAnsi="Times New Roman" w:cs="Times New Roman"/>
          <w:szCs w:val="20"/>
        </w:rPr>
      </w:pPr>
      <w:r>
        <w:rPr>
          <w:rFonts w:cs="Times New Roman" w:ascii="Times New Roman" w:hAnsi="Times New Roman"/>
          <w:szCs w:val="20"/>
        </w:rPr>
        <w:t>definir estratégias para inserção dos produtos e serviços turísticos de base local.</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Empreendedorismo, Captação e Promoção de Investimento</w:t>
      </w:r>
    </w:p>
    <w:p>
      <w:pPr>
        <w:pStyle w:val="Normal"/>
        <w:spacing w:before="120" w:after="120"/>
        <w:jc w:val="both"/>
        <w:rPr>
          <w:rFonts w:ascii="Times New Roman" w:hAnsi="Times New Roman" w:cs="Times New Roman"/>
          <w:szCs w:val="20"/>
        </w:rPr>
      </w:pPr>
      <w:r>
        <w:rPr>
          <w:rFonts w:cs="Times New Roman" w:ascii="Times New Roman" w:hAnsi="Times New Roman"/>
          <w:szCs w:val="20"/>
        </w:rPr>
        <w:t>As dimensões econômicas, tecnológicas, empresariais, políticas e sociais podem se consubstanciar em oportunidades a serem potencializadas ou em riscos a serem minimizados, dependendo da capacidade de negociações de políticas que ampliem os meios técnicos, jurídicos e financeiros para a dinamização econômica dos negócios do turismo nos territórios. Demandam, principalmente:</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realizar estudos e pesquisas das oportunidades de investimentos no âmbito do ativo turístico brasileiro;</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divulgar informações acerca das oportunidades de investimento e financiamento da atividade turística;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estabelecer parcerias público–privadas;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divulgar linhas de crédito e modalidades de financiamento;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promover incentivos fiscais e tributários;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incentivar o associativismo, cooperativismo e empreendedorismo.</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Infraestrutura Turística</w:t>
      </w:r>
    </w:p>
    <w:p>
      <w:pPr>
        <w:pStyle w:val="Normal"/>
        <w:spacing w:before="120" w:after="120"/>
        <w:jc w:val="both"/>
        <w:rPr>
          <w:rFonts w:ascii="Times New Roman" w:hAnsi="Times New Roman" w:cs="Times New Roman"/>
          <w:szCs w:val="20"/>
        </w:rPr>
      </w:pPr>
      <w:r>
        <w:rPr>
          <w:rFonts w:cs="Times New Roman" w:ascii="Times New Roman" w:hAnsi="Times New Roman"/>
          <w:szCs w:val="20"/>
        </w:rPr>
        <w:t xml:space="preserve">A dinamização da atividade, a vocação e o protagonismo econômico no território possibilitam, por meio de iniciativas variadas de cooperação, tecnologias e fomento, incorporar valor agregado e ambiente favorável para o desenvolvimento do turismo. As estratégias de infraestrutura turística, conjunto formado por obras e instalações de estrutura física e de serviços indispensáveis ao desenvolvimento do turismo e existentes em função dele, necessitam, dentre outros: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infraestrutura e equipamentos urbanos diretamente relacionados às atividades turísticas;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infraestrutura de acesso, tais como estradas turísticas, ferrovias, pontes, rodovias, túneis e viadutos, orlas fluviais, lacustres e marítimas;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terminais rodoviários, ferroviários, aeroviários, fluviais, lacustres e marítimos;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edificações de uso público destinadas a atividades indutoras de turismo como centros de cultura, museus, casas de memória, centros de convenções, centros de apoio ao turista, teatros, centros de comercialização de produtos artesanais e mirantes públicos;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 xml:space="preserve">restauração de edifícios, monumentos e conjuntos históricos; </w:t>
      </w:r>
    </w:p>
    <w:p>
      <w:pPr>
        <w:pStyle w:val="Normal"/>
        <w:numPr>
          <w:ilvl w:val="0"/>
          <w:numId w:val="4"/>
        </w:numPr>
        <w:suppressAutoHyphens w:val="false"/>
        <w:spacing w:before="120" w:after="120"/>
        <w:ind w:left="714" w:hanging="357"/>
        <w:jc w:val="both"/>
        <w:textAlignment w:val="auto"/>
        <w:rPr>
          <w:rFonts w:ascii="Times New Roman" w:hAnsi="Times New Roman" w:cs="Times New Roman"/>
          <w:szCs w:val="20"/>
        </w:rPr>
      </w:pPr>
      <w:r>
        <w:rPr>
          <w:rFonts w:cs="Times New Roman" w:ascii="Times New Roman" w:hAnsi="Times New Roman"/>
          <w:szCs w:val="20"/>
        </w:rPr>
        <w:t>elaboração de projetos de infraestrutura turística.</w:t>
      </w:r>
    </w:p>
    <w:p>
      <w:pPr>
        <w:pStyle w:val="Normal"/>
        <w:spacing w:before="120" w:after="120"/>
        <w:jc w:val="both"/>
        <w:rPr>
          <w:rFonts w:ascii="Times New Roman" w:hAnsi="Times New Roman" w:cs="Times New Roman"/>
          <w:szCs w:val="20"/>
        </w:rPr>
      </w:pPr>
      <w:r>
        <w:rPr>
          <w:rFonts w:cs="Times New Roman" w:ascii="Times New Roman" w:hAnsi="Times New Roman"/>
          <w:szCs w:val="20"/>
        </w:rPr>
      </w:r>
    </w:p>
    <w:p>
      <w:pPr>
        <w:pStyle w:val="Normal"/>
        <w:spacing w:before="120" w:after="120"/>
        <w:jc w:val="both"/>
        <w:rPr>
          <w:rFonts w:ascii="Times New Roman" w:hAnsi="Times New Roman" w:cs="Times New Roman"/>
          <w:szCs w:val="20"/>
        </w:rPr>
      </w:pPr>
      <w:r>
        <w:rPr>
          <w:rFonts w:cs="Times New Roman" w:ascii="Times New Roman" w:hAnsi="Times New Roman"/>
          <w:szCs w:val="20"/>
        </w:rPr>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 xml:space="preserve">Informação ao Turista </w:t>
      </w:r>
    </w:p>
    <w:p>
      <w:pPr>
        <w:pStyle w:val="Normal"/>
        <w:spacing w:before="120" w:after="120"/>
        <w:jc w:val="both"/>
        <w:rPr>
          <w:rFonts w:ascii="Times New Roman" w:hAnsi="Times New Roman" w:cs="Times New Roman"/>
          <w:szCs w:val="20"/>
        </w:rPr>
      </w:pPr>
      <w:r>
        <w:rPr>
          <w:rFonts w:cs="Times New Roman" w:ascii="Times New Roman" w:hAnsi="Times New Roman"/>
          <w:szCs w:val="20"/>
        </w:rPr>
        <w:t xml:space="preserve">Oferecer ao turista, informações seguras, atualizadas e completas sobre atrativos turísticos, eventos, infraestrutura, serviços, acessos e história da região ou município, com a recomendação de programas e atividades adequados ao perfil do turista. Para tanto, torna-se necessário, dentre outros: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guias e mapas turísticos;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banco de imagens e vídeos; </w:t>
      </w:r>
    </w:p>
    <w:p>
      <w:pPr>
        <w:pStyle w:val="Normal"/>
        <w:numPr>
          <w:ilvl w:val="0"/>
          <w:numId w:val="4"/>
        </w:numPr>
        <w:suppressAutoHyphens w:val="false"/>
        <w:ind w:left="714" w:hanging="357"/>
        <w:jc w:val="both"/>
        <w:textAlignment w:val="auto"/>
        <w:rPr/>
      </w:pPr>
      <w:r>
        <w:rPr>
          <w:rFonts w:cs="Times New Roman" w:ascii="Times New Roman" w:hAnsi="Times New Roman"/>
          <w:szCs w:val="20"/>
        </w:rPr>
        <w:t>portais (</w:t>
      </w:r>
      <w:r>
        <w:rPr>
          <w:rFonts w:cs="Times New Roman" w:ascii="Times New Roman" w:hAnsi="Times New Roman"/>
          <w:i/>
          <w:szCs w:val="20"/>
        </w:rPr>
        <w:t>site</w:t>
      </w:r>
      <w:r>
        <w:rPr>
          <w:rFonts w:cs="Times New Roman" w:ascii="Times New Roman" w:hAnsi="Times New Roman"/>
          <w:szCs w:val="20"/>
        </w:rPr>
        <w:t>) de regiões e destinos turísticos;</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redes sociais e novas mídias;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sinalização turística;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centro de atendimento ao turismo.</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 xml:space="preserve">Promoção e Apoio à Comercialização </w:t>
      </w:r>
    </w:p>
    <w:p>
      <w:pPr>
        <w:pStyle w:val="Normal"/>
        <w:spacing w:before="120" w:after="120"/>
        <w:jc w:val="both"/>
        <w:rPr>
          <w:rFonts w:ascii="Times New Roman" w:hAnsi="Times New Roman" w:cs="Times New Roman"/>
          <w:szCs w:val="20"/>
        </w:rPr>
      </w:pPr>
      <w:r>
        <w:rPr>
          <w:rFonts w:cs="Times New Roman" w:ascii="Times New Roman" w:hAnsi="Times New Roman"/>
          <w:szCs w:val="20"/>
        </w:rPr>
        <w:t xml:space="preserve">Este eixo exige profissionais e serviços qualificados, infraestrutura, informações seguras e precisas, articulação da cadeia produtiva do turismo em redes de cooperação, de forma a se obter produtos estruturados e segmentados, adequados à promoção e comercialização. Requer, principalmente: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campanhas promocionais e publicitárias, além da produção das respectivas peças;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produção de materiais promocionais, tais como banners, cartazes, catálogos, folhetos, guias, livros, manuais, revistas, sacolas, pôsteres, postais, conteúdos digitais, vídeos e filmes;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realização de famtrip e presstrip;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 xml:space="preserve">organização de rodadas de negócios; </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participação em feiras e eventos.</w:t>
      </w:r>
    </w:p>
    <w:p>
      <w:pPr>
        <w:pStyle w:val="Normal"/>
        <w:numPr>
          <w:ilvl w:val="1"/>
          <w:numId w:val="2"/>
        </w:numPr>
        <w:suppressAutoHyphens w:val="false"/>
        <w:spacing w:before="240" w:after="240"/>
        <w:ind w:left="703" w:hanging="703"/>
        <w:textAlignment w:val="auto"/>
        <w:rPr>
          <w:rFonts w:ascii="Times New Roman" w:hAnsi="Times New Roman" w:cs="Times New Roman"/>
          <w:b/>
          <w:b/>
          <w:szCs w:val="20"/>
        </w:rPr>
      </w:pPr>
      <w:r>
        <w:rPr>
          <w:rFonts w:cs="Times New Roman" w:ascii="Times New Roman" w:hAnsi="Times New Roman"/>
          <w:b/>
          <w:szCs w:val="20"/>
        </w:rPr>
        <w:t xml:space="preserve">Monitoramento </w:t>
      </w:r>
    </w:p>
    <w:p>
      <w:pPr>
        <w:pStyle w:val="Normal"/>
        <w:spacing w:before="120" w:after="120"/>
        <w:jc w:val="both"/>
        <w:rPr>
          <w:rFonts w:ascii="Times New Roman" w:hAnsi="Times New Roman" w:cs="Times New Roman"/>
          <w:szCs w:val="20"/>
        </w:rPr>
      </w:pPr>
      <w:r>
        <w:rPr>
          <w:rFonts w:cs="Times New Roman" w:ascii="Times New Roman" w:hAnsi="Times New Roman"/>
          <w:szCs w:val="20"/>
        </w:rPr>
        <w:t>Ações e projetos conduzidos a partir de uma visão geral de processo de mudança exige a aplicação de critérios cuidadosos de seleção de prioridades, análises das demandas e ofertas associadas às capacidades institucionais, de recursos técnicos, financeiros e de pessoas para produzir dados e informações precisas e confiáveis que possibilitem retroalimentar o ciclo de monitoramento da atividade turística no território. É imperioso e exige, dentre outros:</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mensuração da atividade do setor de turismo, sob o ponto de vista da oferta, em termos de estrutura produtiva, emprego e ocupação hoteleira (estoque e indicadores de ocupação) em nível municipal e estadual;</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mensuração da demanda turística internacional (receptiva e emissiva) e doméstica em termo de sua quantificação e caraterização;</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mensuração dos impactos das atividades turísticas em termos econômicos, ambientais e sociais;</w:t>
      </w:r>
    </w:p>
    <w:p>
      <w:pPr>
        <w:pStyle w:val="Normal"/>
        <w:numPr>
          <w:ilvl w:val="0"/>
          <w:numId w:val="4"/>
        </w:numPr>
        <w:suppressAutoHyphens w:val="false"/>
        <w:ind w:left="714" w:hanging="357"/>
        <w:jc w:val="both"/>
        <w:textAlignment w:val="auto"/>
        <w:rPr>
          <w:rFonts w:ascii="Times New Roman" w:hAnsi="Times New Roman" w:cs="Times New Roman"/>
          <w:szCs w:val="20"/>
        </w:rPr>
      </w:pPr>
      <w:r>
        <w:rPr>
          <w:rFonts w:cs="Times New Roman" w:ascii="Times New Roman" w:hAnsi="Times New Roman"/>
          <w:szCs w:val="20"/>
        </w:rPr>
        <w:t>realização de estudos complementares, como avaliação das tendências de uso de novas tecnologias para a mensuração e análise do setor.</w:t>
      </w:r>
    </w:p>
    <w:p>
      <w:pPr>
        <w:pStyle w:val="Normal"/>
        <w:jc w:val="both"/>
        <w:rPr>
          <w:rFonts w:ascii="Times New Roman" w:hAnsi="Times New Roman" w:cs="Times New Roman"/>
          <w:szCs w:val="20"/>
        </w:rPr>
      </w:pPr>
      <w:r>
        <w:rPr>
          <w:rFonts w:cs="Times New Roman" w:ascii="Times New Roman" w:hAnsi="Times New Roman"/>
          <w:szCs w:val="20"/>
        </w:rPr>
      </w:r>
    </w:p>
    <w:p>
      <w:pPr>
        <w:pStyle w:val="Normal"/>
        <w:numPr>
          <w:ilvl w:val="0"/>
          <w:numId w:val="5"/>
        </w:numPr>
        <w:suppressAutoHyphens w:val="false"/>
        <w:spacing w:before="240" w:after="240"/>
        <w:jc w:val="both"/>
        <w:textAlignment w:val="auto"/>
        <w:rPr>
          <w:rFonts w:ascii="Times New Roman" w:hAnsi="Times New Roman" w:cs="Times New Roman"/>
          <w:b/>
          <w:b/>
        </w:rPr>
      </w:pPr>
      <w:r>
        <w:rPr>
          <w:rFonts w:cs="Times New Roman" w:ascii="Times New Roman" w:hAnsi="Times New Roman"/>
          <w:b/>
        </w:rPr>
        <w:t>O PLANO DE DESENVOLVIMENTO TERRITORIAL DO TURISMO –CONCEITUAÇÃO</w:t>
      </w:r>
    </w:p>
    <w:p>
      <w:pPr>
        <w:pStyle w:val="Normal"/>
        <w:spacing w:before="120" w:after="120"/>
        <w:jc w:val="both"/>
        <w:rPr>
          <w:rFonts w:ascii="Times New Roman" w:hAnsi="Times New Roman" w:cs="Times New Roman"/>
        </w:rPr>
      </w:pPr>
      <w:r>
        <w:rPr>
          <w:rFonts w:cs="Times New Roman" w:ascii="Times New Roman" w:hAnsi="Times New Roman"/>
        </w:rPr>
        <w:t xml:space="preserve">O Plano de Desenvolvimento Territorial do Turismo é um instrumento de planejamento em uma área geográfica selecionada, que tem por objetivo principal orientar o crescimento do setor, estabelecendo as bases para a definição de ações, as prioridades, e a tomada de decisão. Deve, portanto, constituir o instrumento técnico de gestão, coordenação e condução das decisões da política turística e de apoio ao setor privado, de modo a dirigir seus investimentos e melhorar a capacidade empresarial e o acesso ao mercado turístico. </w:t>
      </w:r>
    </w:p>
    <w:p>
      <w:pPr>
        <w:pStyle w:val="Normal"/>
        <w:spacing w:before="120" w:after="120"/>
        <w:jc w:val="both"/>
        <w:rPr>
          <w:rFonts w:ascii="Times New Roman" w:hAnsi="Times New Roman" w:cs="Times New Roman"/>
        </w:rPr>
      </w:pPr>
      <w:r>
        <w:rPr>
          <w:rFonts w:cs="Times New Roman" w:ascii="Times New Roman" w:hAnsi="Times New Roman"/>
        </w:rPr>
        <w:t>A estratégia de formulação do Plano deve, necessariamente: (i) prever a articulação da autoridade responsável pelo desenvolvimento turístico e representantes dos municípios da área, do setor empresarial turístico, de outras instituições cujas funções e decisões afetem direta ou indiretamente o desenvolvimento do turismo e das comunidades afetadas; (ii) contar com a participação de representantes dessas entidades e da sociedade nas diferentes fases de elaboração do plano; (iii) facilitar a comunicação e a troca de informação, o consenso sobre os objetivos do plano e o estabelecimento dos compromissos entre as partes; e (iv) contar com a validação pelo respectivo Conselho de Turismo, bem como pelo MTur.</w:t>
      </w:r>
    </w:p>
    <w:p>
      <w:pPr>
        <w:pStyle w:val="Normal"/>
        <w:spacing w:before="120" w:after="120"/>
        <w:jc w:val="both"/>
        <w:rPr>
          <w:rFonts w:ascii="Times New Roman" w:hAnsi="Times New Roman" w:cs="Times New Roman"/>
        </w:rPr>
      </w:pPr>
      <w:r>
        <w:rPr>
          <w:rFonts w:cs="Times New Roman" w:ascii="Times New Roman" w:hAnsi="Times New Roman"/>
        </w:rPr>
        <w:t>A elaboração do Plano pressupõe, ainda, uma visão integrada da realidade da Área Turística sob os aspectos relacionados à cadeia produtiva do turismo (produto e mercado) e à gestão do turismo, além daqueles relacionados aos âmbitos social, econômico e ambiental, e à infraestrutura e serviços básicos (saneamento básico, energia elétrica, comunicação, acessos e transportes). O mesmo deverá propor objetivos, metas e diretrizes para o desenvolvimento da atividade turística, visando à melhoria da qualidade de vida das populações residentes na área selecionada, que resultem em um documento com informações necessárias à caracterização da situação atual, identificando seus problemas e oportunidades e definindo estratégias e ações.</w:t>
      </w:r>
    </w:p>
    <w:p>
      <w:pPr>
        <w:pStyle w:val="Normal"/>
        <w:spacing w:before="120" w:after="120"/>
        <w:jc w:val="both"/>
        <w:rPr>
          <w:rFonts w:ascii="Times New Roman" w:hAnsi="Times New Roman" w:cs="Times New Roman"/>
        </w:rPr>
      </w:pPr>
      <w:r>
        <w:rPr>
          <w:rFonts w:cs="Times New Roman" w:ascii="Times New Roman" w:hAnsi="Times New Roman"/>
        </w:rPr>
        <w:t>A partir do planejamento, o MTur procura organizar as intervenções públicas para o desenvolvimento do setor. Além disso, possui uma ação direta na aplicação de recursos do Orçamento Federal em projetos de infraestrutura turística, planejamento estratégico e operacional dos destinos, fortalecimento da gestão, acesso a mercados e gestão ambiental, de modo a apoiar a estruturação, gestão e promoção do turismo no País, de forma regionalizada e descentralizada.</w:t>
      </w:r>
    </w:p>
    <w:p>
      <w:pPr>
        <w:pStyle w:val="Normal"/>
        <w:jc w:val="center"/>
        <w:rPr>
          <w:rFonts w:ascii="Times New Roman" w:hAnsi="Times New Roman" w:cs="Times New Roman"/>
        </w:rPr>
      </w:pPr>
      <w:r>
        <w:rPr>
          <w:rFonts w:cs="Times New Roman" w:ascii="Times New Roman" w:hAnsi="Times New Roman"/>
        </w:rPr>
      </w:r>
      <w:r>
        <w:br w:type="page"/>
      </w:r>
    </w:p>
    <w:p>
      <w:pPr>
        <w:pStyle w:val="ListParagraph"/>
        <w:numPr>
          <w:ilvl w:val="0"/>
          <w:numId w:val="5"/>
        </w:numPr>
        <w:suppressAutoHyphens w:val="false"/>
        <w:spacing w:before="240" w:after="240"/>
        <w:jc w:val="both"/>
        <w:textAlignment w:val="auto"/>
        <w:rPr>
          <w:rFonts w:ascii="Times New Roman" w:hAnsi="Times New Roman" w:cs="Times New Roman"/>
          <w:b/>
          <w:b/>
        </w:rPr>
      </w:pPr>
      <w:r>
        <w:rPr>
          <w:rFonts w:cs="Times New Roman" w:ascii="Times New Roman" w:hAnsi="Times New Roman"/>
          <w:b/>
        </w:rPr>
        <w:t>OBJETIVO</w:t>
      </w:r>
    </w:p>
    <w:p>
      <w:pPr>
        <w:pStyle w:val="Normal"/>
        <w:spacing w:before="120" w:after="120"/>
        <w:jc w:val="both"/>
        <w:rPr>
          <w:rFonts w:ascii="Times New Roman" w:hAnsi="Times New Roman" w:cs="Times New Roman"/>
        </w:rPr>
      </w:pPr>
      <w:r>
        <w:rPr>
          <w:rFonts w:cs="Times New Roman" w:ascii="Times New Roman" w:hAnsi="Times New Roman"/>
        </w:rPr>
        <w:t xml:space="preserve">O objetivo do presente Termo de Referência é orientar a elaboração do Plano de Desenvolvimento Territorial do Turismo da Área Turística do Município de Nova Trento – SC. </w:t>
      </w:r>
    </w:p>
    <w:p>
      <w:pPr>
        <w:pStyle w:val="ListParagraph"/>
        <w:numPr>
          <w:ilvl w:val="0"/>
          <w:numId w:val="5"/>
        </w:numPr>
        <w:tabs>
          <w:tab w:val="left" w:pos="1080" w:leader="none"/>
        </w:tabs>
        <w:suppressAutoHyphens w:val="false"/>
        <w:spacing w:before="240" w:after="240"/>
        <w:jc w:val="both"/>
        <w:textAlignment w:val="auto"/>
        <w:rPr>
          <w:rFonts w:ascii="Times New Roman" w:hAnsi="Times New Roman" w:cs="Times New Roman"/>
          <w:b/>
          <w:b/>
        </w:rPr>
      </w:pPr>
      <w:r>
        <w:rPr>
          <w:rFonts w:cs="Times New Roman" w:ascii="Times New Roman" w:hAnsi="Times New Roman"/>
          <w:b/>
        </w:rPr>
        <w:t>PRINCÍPIOS METODOLÓGICOS</w:t>
      </w:r>
    </w:p>
    <w:p>
      <w:pPr>
        <w:pStyle w:val="Normal"/>
        <w:spacing w:before="120" w:after="120"/>
        <w:jc w:val="both"/>
        <w:rPr>
          <w:b/>
          <w:b/>
        </w:rPr>
      </w:pPr>
      <w:r>
        <w:rPr>
          <w:rFonts w:cs="Times New Roman" w:ascii="Times New Roman" w:hAnsi="Times New Roman"/>
        </w:rPr>
        <w:t xml:space="preserve">A metodologia a ser desenvolvida para a elaboração do Plano da Área Turística do Município de Nova Trento – SC, aqui entendida como o conjunto dos fundamentos teóricos, </w:t>
      </w:r>
      <w:bookmarkStart w:id="0" w:name="_GoBack"/>
      <w:bookmarkEnd w:id="0"/>
      <w:r>
        <w:rPr>
          <w:rFonts w:cs="Times New Roman" w:ascii="Times New Roman" w:hAnsi="Times New Roman"/>
        </w:rPr>
        <w:t xml:space="preserve">das técnicas e dos métodos empregados no desenvolvimento das atividades </w:t>
      </w:r>
      <w:r>
        <w:rPr>
          <w:rFonts w:cs="Times New Roman" w:ascii="Times New Roman" w:hAnsi="Times New Roman"/>
          <w:b/>
        </w:rPr>
        <w:t>listadas nos próximos itens, deve considerar os seguintes princípios:</w:t>
      </w:r>
    </w:p>
    <w:p>
      <w:pPr>
        <w:pStyle w:val="Normal"/>
        <w:numPr>
          <w:ilvl w:val="0"/>
          <w:numId w:val="6"/>
        </w:numPr>
        <w:suppressAutoHyphens w:val="false"/>
        <w:spacing w:before="120" w:after="120"/>
        <w:ind w:left="426" w:hanging="426"/>
        <w:jc w:val="both"/>
        <w:textAlignment w:val="auto"/>
        <w:rPr/>
      </w:pPr>
      <w:r>
        <w:rPr>
          <w:rFonts w:cs="Times New Roman" w:ascii="Times New Roman" w:hAnsi="Times New Roman"/>
          <w:u w:val="single"/>
        </w:rPr>
        <w:t>Planejamento estratégico voltado ao mercado turístico</w:t>
      </w:r>
      <w:r>
        <w:rPr>
          <w:rFonts w:cs="Times New Roman" w:ascii="Times New Roman" w:hAnsi="Times New Roman"/>
        </w:rPr>
        <w:t>: Definição de produtos e mercados para concentração de esforços, identificando-se os pontos fracos e fortes, as oportunidades e as ameaças e analisando-se as medidas necessárias para a correção de rumo e a busca por maior competitividade.</w:t>
      </w:r>
    </w:p>
    <w:p>
      <w:pPr>
        <w:pStyle w:val="Normal"/>
        <w:numPr>
          <w:ilvl w:val="0"/>
          <w:numId w:val="6"/>
        </w:numPr>
        <w:suppressAutoHyphens w:val="false"/>
        <w:spacing w:before="120" w:after="120"/>
        <w:ind w:left="426" w:hanging="426"/>
        <w:jc w:val="both"/>
        <w:textAlignment w:val="auto"/>
        <w:rPr/>
      </w:pPr>
      <w:r>
        <w:rPr>
          <w:rFonts w:cs="Times New Roman" w:ascii="Times New Roman" w:hAnsi="Times New Roman"/>
          <w:u w:val="single"/>
        </w:rPr>
        <w:t>Desenvolvimento sustentável</w:t>
      </w:r>
      <w:r>
        <w:rPr>
          <w:rFonts w:cs="Times New Roman" w:ascii="Times New Roman" w:hAnsi="Times New Roman"/>
        </w:rPr>
        <w:t>: atendimento aos turistas e melhoria da qualidade de vida da população local, mediante a geração de emprego e renda e a proteção dos recursos naturais e culturais; provisão de infraestrutura e melhoria dos espaços urbanos disponíveis e utilizáveis; prevenção e controle dos impactos estratégicos (oportunidades e riscos ambientais) decorrentes do desenvolvimento turístico.</w:t>
      </w:r>
    </w:p>
    <w:p>
      <w:pPr>
        <w:pStyle w:val="Normal"/>
        <w:numPr>
          <w:ilvl w:val="0"/>
          <w:numId w:val="6"/>
        </w:numPr>
        <w:suppressAutoHyphens w:val="false"/>
        <w:spacing w:before="120" w:after="120"/>
        <w:ind w:left="426" w:hanging="426"/>
        <w:jc w:val="both"/>
        <w:textAlignment w:val="auto"/>
        <w:rPr/>
      </w:pPr>
      <w:r>
        <w:rPr>
          <w:rFonts w:cs="Times New Roman" w:ascii="Times New Roman" w:hAnsi="Times New Roman"/>
          <w:u w:val="single"/>
        </w:rPr>
        <w:t>Planejamento participativo</w:t>
      </w:r>
      <w:r>
        <w:rPr>
          <w:rFonts w:cs="Times New Roman" w:ascii="Times New Roman" w:hAnsi="Times New Roman"/>
        </w:rPr>
        <w:t>: com representantes dos setores públicos e privados, que intervenham ou possam ser afetados pelo turismo, incluindo as organizações sociais;</w:t>
      </w:r>
    </w:p>
    <w:p>
      <w:pPr>
        <w:pStyle w:val="Normal"/>
        <w:numPr>
          <w:ilvl w:val="0"/>
          <w:numId w:val="6"/>
        </w:numPr>
        <w:suppressAutoHyphens w:val="false"/>
        <w:spacing w:before="120" w:after="120"/>
        <w:ind w:left="426" w:hanging="426"/>
        <w:jc w:val="both"/>
        <w:textAlignment w:val="auto"/>
        <w:rPr/>
      </w:pPr>
      <w:r>
        <w:rPr>
          <w:rFonts w:cs="Times New Roman" w:ascii="Times New Roman" w:hAnsi="Times New Roman"/>
          <w:u w:val="single"/>
        </w:rPr>
        <w:t>Planejamento integrado</w:t>
      </w:r>
      <w:r>
        <w:rPr>
          <w:rFonts w:cs="Times New Roman" w:ascii="Times New Roman" w:hAnsi="Times New Roman"/>
        </w:rPr>
        <w:t>: definição das ações necessárias para melhorar a competitividade da área como destino turístico em um único plano, independentemente dos responsáveis pela execução dessas ações e das fontes de financiamento.</w:t>
      </w:r>
    </w:p>
    <w:p>
      <w:pPr>
        <w:pStyle w:val="Normal"/>
        <w:suppressAutoHyphens w:val="false"/>
        <w:spacing w:before="120" w:after="120"/>
        <w:ind w:left="426" w:hanging="0"/>
        <w:jc w:val="both"/>
        <w:textAlignment w:val="auto"/>
        <w:rPr>
          <w:rFonts w:ascii="Times New Roman" w:hAnsi="Times New Roman" w:cs="Times New Roman"/>
        </w:rPr>
      </w:pPr>
      <w:r>
        <w:rPr>
          <w:rFonts w:cs="Times New Roman" w:ascii="Times New Roman" w:hAnsi="Times New Roman"/>
        </w:rPr>
      </w:r>
    </w:p>
    <w:p>
      <w:pPr>
        <w:pStyle w:val="Normal"/>
        <w:numPr>
          <w:ilvl w:val="0"/>
          <w:numId w:val="5"/>
        </w:numPr>
        <w:tabs>
          <w:tab w:val="left" w:pos="360" w:leader="none"/>
        </w:tabs>
        <w:suppressAutoHyphens w:val="false"/>
        <w:spacing w:before="240" w:after="240"/>
        <w:ind w:left="567" w:hanging="567"/>
        <w:jc w:val="both"/>
        <w:textAlignment w:val="auto"/>
        <w:rPr>
          <w:rFonts w:ascii="Times New Roman" w:hAnsi="Times New Roman" w:cs="Times New Roman"/>
          <w:b/>
          <w:b/>
        </w:rPr>
      </w:pPr>
      <w:r>
        <w:rPr>
          <w:rFonts w:cs="Times New Roman" w:ascii="Times New Roman" w:hAnsi="Times New Roman"/>
          <w:b/>
        </w:rPr>
        <w:t>CARACTERIZAÇÃO E JUSTIFICATIVA DE SELEÇÃO DA ÁREA TURÍSTICA (AT)</w:t>
      </w:r>
    </w:p>
    <w:p>
      <w:pPr>
        <w:pStyle w:val="Normal"/>
        <w:spacing w:before="120" w:after="120"/>
        <w:jc w:val="both"/>
        <w:rPr>
          <w:rFonts w:ascii="Times New Roman" w:hAnsi="Times New Roman" w:cs="Times New Roman"/>
          <w:color w:val="4F81BD"/>
        </w:rPr>
      </w:pPr>
      <w:r>
        <w:rPr>
          <w:rFonts w:cs="Times New Roman" w:ascii="Times New Roman" w:hAnsi="Times New Roman"/>
          <w:color w:val="4F81BD"/>
        </w:rPr>
      </w:r>
    </w:p>
    <w:p>
      <w:pPr>
        <w:pStyle w:val="Standard"/>
        <w:jc w:val="both"/>
        <w:rPr/>
      </w:pPr>
      <w:r>
        <w:rPr>
          <w:rFonts w:cs="Times New Roman" w:ascii="Times New Roman" w:hAnsi="Times New Roman"/>
        </w:rPr>
        <w:t xml:space="preserve">Desde sua colonização Nova Trento teve na religiosidade sua maior característica, que, com a canonização de </w:t>
      </w:r>
      <w:r>
        <w:rPr>
          <w:rFonts w:cs="Times New Roman" w:ascii="Times New Roman" w:hAnsi="Times New Roman"/>
          <w:b/>
        </w:rPr>
        <w:t>Santa Paulina</w:t>
      </w:r>
      <w:r>
        <w:rPr>
          <w:rFonts w:cs="Times New Roman" w:ascii="Times New Roman" w:hAnsi="Times New Roman"/>
        </w:rPr>
        <w:t xml:space="preserve">, tornou-se reconhecido como a </w:t>
      </w:r>
      <w:r>
        <w:rPr>
          <w:rFonts w:cs="Times New Roman" w:ascii="Times New Roman" w:hAnsi="Times New Roman"/>
          <w:b/>
        </w:rPr>
        <w:t>Capital Catarinense Do Turismo Religioso</w:t>
      </w:r>
      <w:r>
        <w:rPr>
          <w:rFonts w:cs="Times New Roman" w:ascii="Times New Roman" w:hAnsi="Times New Roman"/>
        </w:rPr>
        <w:t>, e hoje já é reconhecida pela CNBB, fato levado ao conhecimento via SEBRAE no Congresso Brasileiro de Turismo Religioso ocorrido em Salvador/BA entre os dias 09 e 12 de maio de 2018, um dos cinco (5) principais destinos de Turismo Religioso do Brasil.</w:t>
      </w:r>
    </w:p>
    <w:p>
      <w:pPr>
        <w:pStyle w:val="Standard"/>
        <w:jc w:val="both"/>
        <w:rPr>
          <w:rFonts w:ascii="Times New Roman" w:hAnsi="Times New Roman" w:cs="Times New Roman"/>
        </w:rPr>
      </w:pPr>
      <w:r>
        <w:rPr>
          <w:rFonts w:cs="Times New Roman" w:ascii="Times New Roman" w:hAnsi="Times New Roman"/>
        </w:rPr>
        <w:t>Nova Trento é a única cidade não capital a ter dois (2) Santuários, o de Nossa Senhora do Bom Socorro que teve sua construção iniciada em 1902, e o de Santa Paulina inaugurado em 22 de janeiro de 2006.</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color w:val="000000"/>
        </w:rPr>
      </w:pPr>
      <w:r>
        <w:rPr>
          <w:rFonts w:cs="Times New Roman" w:ascii="Times New Roman" w:hAnsi="Times New Roman"/>
          <w:color w:val="000000"/>
        </w:rPr>
        <w:t>O Santuário Nossa Senhora do Bom Socorro, localizado no Morro da Cruz, centro, com 525m de altitude, tendo uma maravilhosa vista panorâmica de todo o Vale do Rio Tijucas, e seu encontro com o mar, abrigando também diversas relíquias centenárias, entre elas, uma estátua de bronze de Nossa Senhora do Bom Socorro, vinda da cidade de Clermont de Tonnerre em 1906.</w:t>
      </w:r>
    </w:p>
    <w:p>
      <w:pPr>
        <w:pStyle w:val="Standard"/>
        <w:jc w:val="both"/>
        <w:rPr>
          <w:rFonts w:ascii="Times New Roman" w:hAnsi="Times New Roman" w:cs="Times New Roman"/>
          <w:color w:val="000000"/>
        </w:rPr>
      </w:pPr>
      <w:r>
        <w:rPr>
          <w:rFonts w:cs="Times New Roman" w:ascii="Times New Roman" w:hAnsi="Times New Roman"/>
          <w:color w:val="000000"/>
        </w:rPr>
      </w:r>
    </w:p>
    <w:p>
      <w:pPr>
        <w:pStyle w:val="Standard"/>
        <w:jc w:val="both"/>
        <w:rPr/>
      </w:pPr>
      <w:r>
        <w:rPr/>
        <w:drawing>
          <wp:inline distT="0" distB="0" distL="0" distR="0">
            <wp:extent cx="4076700" cy="6115050"/>
            <wp:effectExtent l="0" t="0" r="0" b="0"/>
            <wp:docPr id="1" name="Imagem 1" descr="E:\Fotos Débora\Cicloturismo\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E:\Fotos Débora\Cicloturismo\DSC_0912.JPG"/>
                    <pic:cNvPicPr>
                      <a:picLocks noChangeAspect="1" noChangeArrowheads="1"/>
                    </pic:cNvPicPr>
                  </pic:nvPicPr>
                  <pic:blipFill>
                    <a:blip r:embed="rId2"/>
                    <a:stretch>
                      <a:fillRect/>
                    </a:stretch>
                  </pic:blipFill>
                  <pic:spPr bwMode="auto">
                    <a:xfrm>
                      <a:off x="0" y="0"/>
                      <a:ext cx="4076700" cy="6115050"/>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01: Imagem de bronze de Nossa Senhora do Bom Socorro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400040" cy="4050030"/>
            <wp:effectExtent l="0" t="0" r="0" b="0"/>
            <wp:docPr id="2"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descr=""/>
                    <pic:cNvPicPr>
                      <a:picLocks noChangeAspect="1" noChangeArrowheads="1"/>
                    </pic:cNvPicPr>
                  </pic:nvPicPr>
                  <pic:blipFill>
                    <a:blip r:embed="rId3"/>
                    <a:stretch>
                      <a:fillRect/>
                    </a:stretch>
                  </pic:blipFill>
                  <pic:spPr bwMode="auto">
                    <a:xfrm>
                      <a:off x="0" y="0"/>
                      <a:ext cx="5400040" cy="4050030"/>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02: Santuário Nossa Senhora do Bom Socorro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(2017)</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color w:val="000000"/>
        </w:rPr>
      </w:pPr>
      <w:r>
        <w:rPr>
          <w:rFonts w:cs="Times New Roman" w:ascii="Times New Roman" w:hAnsi="Times New Roman"/>
          <w:color w:val="000000"/>
        </w:rPr>
        <w:t>O Santuário de Santa Paulina atrai muitos turistas e peregrinos para conhecer onde viveu a primeira santa brasileira: Santa Paulina. Além de ser um local de fé, é também um parque ecológico, onde o visitante pode passear, orar, contemplar a natureza através do verde da paisagem, bem como pela beleza das flores, cachoeiras, animais, pássaros e belas trilhas. Em cada espaço pode-se sentir a presença de Santa Paulina, através de cada marco histórico dedicado a ela a aos seus antepassados.</w:t>
      </w:r>
    </w:p>
    <w:p>
      <w:pPr>
        <w:pStyle w:val="Standard"/>
        <w:jc w:val="both"/>
        <w:rPr>
          <w:rFonts w:ascii="Times New Roman" w:hAnsi="Times New Roman" w:cs="Times New Roman"/>
          <w:color w:val="000000"/>
        </w:rPr>
      </w:pPr>
      <w:r>
        <w:rPr>
          <w:rFonts w:cs="Times New Roman" w:ascii="Times New Roman" w:hAnsi="Times New Roman"/>
          <w:color w:val="000000"/>
        </w:rPr>
      </w:r>
    </w:p>
    <w:p>
      <w:pPr>
        <w:pStyle w:val="Standard"/>
        <w:jc w:val="both"/>
        <w:rPr/>
      </w:pPr>
      <w:r>
        <w:rPr/>
        <w:drawing>
          <wp:inline distT="0" distB="0" distL="0" distR="0">
            <wp:extent cx="5038725" cy="3228975"/>
            <wp:effectExtent l="0" t="0" r="0" b="0"/>
            <wp:docPr id="3" name="Imagem 2" descr="C:\Users\debor\Downloads\SantuÃ¡rio Santa Pa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Users\debor\Downloads\SantuÃ¡rio Santa Paulina.JPG"/>
                    <pic:cNvPicPr>
                      <a:picLocks noChangeAspect="1" noChangeArrowheads="1"/>
                    </pic:cNvPicPr>
                  </pic:nvPicPr>
                  <pic:blipFill>
                    <a:blip r:embed="rId4"/>
                    <a:stretch>
                      <a:fillRect/>
                    </a:stretch>
                  </pic:blipFill>
                  <pic:spPr bwMode="auto">
                    <a:xfrm>
                      <a:off x="0" y="0"/>
                      <a:ext cx="5038725" cy="322897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03: Santuário Santa Paulina</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t>Como as tradições trentino italianas são também um forte chamamento turístico, somado ao incremento propiciado pelo turismo religioso, Nova Trento teve aceleração de crescimento nos demais nichos turísticos destacando-se a vinicultura, a gastronomia, os eventos culturais e os eventos esportivos. O principal evento cultural é a Festa Incanto Trentino, que busca manter vivas as tradições trentino italianas, e que está entrando na sua vigésima sexta (26ª) edição. Por tais motivos Nova Trento vem se destacando como município indutor de forma contínua, principalmente do Vale do Rio Tijucas, micro região a qual pertence.</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134610" cy="3790950"/>
            <wp:effectExtent l="0" t="0" r="0" b="0"/>
            <wp:docPr id="4" name="Imagem 3" descr="A imagem pode conter: 7 pessoas, comida e á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A imagem pode conter: 7 pessoas, comida e área interna"/>
                    <pic:cNvPicPr>
                      <a:picLocks noChangeAspect="1" noChangeArrowheads="1"/>
                    </pic:cNvPicPr>
                  </pic:nvPicPr>
                  <pic:blipFill>
                    <a:blip r:embed="rId5"/>
                    <a:stretch>
                      <a:fillRect/>
                    </a:stretch>
                  </pic:blipFill>
                  <pic:spPr bwMode="auto">
                    <a:xfrm>
                      <a:off x="0" y="0"/>
                      <a:ext cx="5134610" cy="3790950"/>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04: Escolha das realezas da XXV Incanto Trentino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(2017)</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100955" cy="3400425"/>
            <wp:effectExtent l="0" t="0" r="0" b="0"/>
            <wp:docPr id="5"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2" descr=""/>
                    <pic:cNvPicPr>
                      <a:picLocks noChangeAspect="1" noChangeArrowheads="1"/>
                    </pic:cNvPicPr>
                  </pic:nvPicPr>
                  <pic:blipFill>
                    <a:blip r:embed="rId6"/>
                    <a:stretch>
                      <a:fillRect/>
                    </a:stretch>
                  </pic:blipFill>
                  <pic:spPr bwMode="auto">
                    <a:xfrm>
                      <a:off x="0" y="0"/>
                      <a:ext cx="5100955" cy="340042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05: XXV Incanto Trentino – Apresentação Cultural Grupo Folk Nea Tridentum</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(2017)</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400040" cy="3599815"/>
            <wp:effectExtent l="0" t="0" r="0" b="0"/>
            <wp:docPr id="6"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3" descr=""/>
                    <pic:cNvPicPr>
                      <a:picLocks noChangeAspect="1" noChangeArrowheads="1"/>
                    </pic:cNvPicPr>
                  </pic:nvPicPr>
                  <pic:blipFill>
                    <a:blip r:embed="rId7"/>
                    <a:stretch>
                      <a:fillRect/>
                    </a:stretch>
                  </pic:blipFill>
                  <pic:spPr bwMode="auto">
                    <a:xfrm>
                      <a:off x="0" y="0"/>
                      <a:ext cx="5400040" cy="359981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06: XXV Incanto Trentino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(2017)</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400040" cy="3599815"/>
            <wp:effectExtent l="0" t="0" r="0" b="0"/>
            <wp:docPr id="7" name="Imagem 15" descr="E:\Fotos Débora\Páscoa\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5" descr="E:\Fotos Débora\Páscoa\DSC_0034.JPG"/>
                    <pic:cNvPicPr>
                      <a:picLocks noChangeAspect="1" noChangeArrowheads="1"/>
                    </pic:cNvPicPr>
                  </pic:nvPicPr>
                  <pic:blipFill>
                    <a:blip r:embed="rId8"/>
                    <a:stretch>
                      <a:fillRect/>
                    </a:stretch>
                  </pic:blipFill>
                  <pic:spPr bwMode="auto">
                    <a:xfrm>
                      <a:off x="0" y="0"/>
                      <a:ext cx="5400040" cy="359981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07: Evento La Prima Pasqualina (estrutura)</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t>Nova Trento, por apresentar topografia diversificada, tem uma rica bacia hidrográfica formada por rio, córregos e ribeirões, e por esta oferta da natureza passou a chamar a atenção de quem aqui chega, tornando-se também um forte atrativo turístico natural. Nova Trento tem 402,12 km², sendo 60% desse território área rural. Estamos encravados entre montanhas e vales, tendo mais de 60% de cobertura verde que ajudam a formar a Mata Atlântica. Em virtude desse extenso território natural, vem-se identificando maior procura por atividades como: ecoturismo, turismo de experiência e turismo de contemplação.</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092700" cy="7820025"/>
            <wp:effectExtent l="0" t="0" r="0" b="0"/>
            <wp:docPr id="8" name="Imagem 4" descr="E:\Fotos Débora\Cicloturismo\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descr="E:\Fotos Débora\Cicloturismo\DSC_0818.JPG"/>
                    <pic:cNvPicPr>
                      <a:picLocks noChangeAspect="1" noChangeArrowheads="1"/>
                    </pic:cNvPicPr>
                  </pic:nvPicPr>
                  <pic:blipFill>
                    <a:blip r:embed="rId9"/>
                    <a:stretch>
                      <a:fillRect/>
                    </a:stretch>
                  </pic:blipFill>
                  <pic:spPr bwMode="auto">
                    <a:xfrm>
                      <a:off x="0" y="0"/>
                      <a:ext cx="5092700" cy="782002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08: Cascata na comunidade de São Caetano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NoSpacing"/>
        <w:jc w:val="both"/>
        <w:rPr>
          <w:rFonts w:ascii="Times New Roman" w:hAnsi="Times New Roman" w:cs="Times New Roman"/>
        </w:rPr>
      </w:pPr>
      <w:r>
        <w:rPr>
          <w:rFonts w:cs="Times New Roman" w:ascii="Times New Roman" w:hAnsi="Times New Roman"/>
        </w:rPr>
        <w:t xml:space="preserve">Aproveitando as potencialidades naturais, principalmente da zona rural, a Secretaria Municipal de Cultura e Turismo em parceria com o grupo de Cicloturismo de Nova Trento – Pedalatrento, iniciou um projeto de criação de roteiros integrando o município sede com os municípios vizinhos. São três roteiros de diferentes distâncias e trajetos, conforme apresentados na sequência: </w:t>
      </w:r>
    </w:p>
    <w:p>
      <w:pPr>
        <w:pStyle w:val="NoSpacing"/>
        <w:jc w:val="both"/>
        <w:rPr>
          <w:rFonts w:ascii="Times New Roman" w:hAnsi="Times New Roman" w:cs="Times New Roman"/>
        </w:rPr>
      </w:pPr>
      <w:r>
        <w:rPr>
          <w:rFonts w:cs="Times New Roman" w:ascii="Times New Roman" w:hAnsi="Times New Roman"/>
        </w:rPr>
      </w:r>
    </w:p>
    <w:p>
      <w:pPr>
        <w:pStyle w:val="NoSpacing"/>
        <w:jc w:val="both"/>
        <w:rPr>
          <w:rFonts w:ascii="Times New Roman" w:hAnsi="Times New Roman" w:cs="Times New Roman"/>
          <w:szCs w:val="24"/>
        </w:rPr>
      </w:pPr>
      <w:r>
        <w:rPr>
          <w:rFonts w:cs="Times New Roman" w:ascii="Times New Roman" w:hAnsi="Times New Roman"/>
          <w:szCs w:val="24"/>
        </w:rPr>
        <w:t>ROTEIRO CIDADE SANTA:</w:t>
      </w:r>
    </w:p>
    <w:p>
      <w:pPr>
        <w:pStyle w:val="NoSpacing"/>
        <w:jc w:val="both"/>
        <w:rPr>
          <w:rFonts w:ascii="Times New Roman" w:hAnsi="Times New Roman" w:cs="Times New Roman"/>
          <w:szCs w:val="24"/>
        </w:rPr>
      </w:pPr>
      <w:r>
        <w:rPr>
          <w:rFonts w:cs="Times New Roman" w:ascii="Times New Roman" w:hAnsi="Times New Roman"/>
          <w:szCs w:val="24"/>
        </w:rPr>
      </w:r>
    </w:p>
    <w:p>
      <w:pPr>
        <w:pStyle w:val="NoSpacing"/>
        <w:jc w:val="both"/>
        <w:rPr/>
      </w:pPr>
      <w:r>
        <w:rPr>
          <w:rFonts w:cs="Times New Roman" w:ascii="Times New Roman" w:hAnsi="Times New Roman"/>
        </w:rPr>
        <w:t>Trecho 1: Saída da Praça Getúlio Vargas, São Roque, São Caetano, Taquaru</w:t>
      </w:r>
      <w:r>
        <w:rPr>
          <w:rFonts w:cs="Times New Roman" w:ascii="Times New Roman" w:hAnsi="Times New Roman"/>
          <w:szCs w:val="24"/>
        </w:rPr>
        <w:t>s</w:t>
      </w:r>
      <w:r>
        <w:rPr>
          <w:rFonts w:cs="Times New Roman" w:ascii="Times New Roman" w:hAnsi="Times New Roman"/>
        </w:rPr>
        <w:t>su, Cedro Alto, Alto Alferes, Vígolo, C</w:t>
      </w:r>
      <w:r>
        <w:rPr>
          <w:rFonts w:cs="Times New Roman" w:ascii="Times New Roman" w:hAnsi="Times New Roman"/>
          <w:szCs w:val="24"/>
        </w:rPr>
        <w:t>entro.</w:t>
      </w:r>
    </w:p>
    <w:p>
      <w:pPr>
        <w:pStyle w:val="NoSpacing"/>
        <w:jc w:val="both"/>
        <w:rPr/>
      </w:pPr>
      <w:r>
        <w:rPr>
          <w:rFonts w:cs="Times New Roman" w:ascii="Times New Roman" w:hAnsi="Times New Roman"/>
          <w:szCs w:val="24"/>
        </w:rPr>
        <w:t xml:space="preserve">Trecho 2: </w:t>
      </w:r>
      <w:r>
        <w:rPr>
          <w:rFonts w:cs="Times New Roman" w:ascii="Times New Roman" w:hAnsi="Times New Roman"/>
        </w:rPr>
        <w:t>Saída da Praça Getúlio Vargas, R</w:t>
      </w:r>
      <w:r>
        <w:rPr>
          <w:rFonts w:cs="Times New Roman" w:ascii="Times New Roman" w:hAnsi="Times New Roman"/>
          <w:szCs w:val="24"/>
        </w:rPr>
        <w:t xml:space="preserve">ua dos </w:t>
      </w:r>
      <w:r>
        <w:rPr>
          <w:rFonts w:cs="Times New Roman" w:ascii="Times New Roman" w:hAnsi="Times New Roman"/>
        </w:rPr>
        <w:t>Imigrantes, Bairro Besenello, Santo Antonin, Ponte que interliga as comunidades de Rio do Braço e Ponta Fina Sul, Ponta Fina Sul, Ribeirão da Velha, T</w:t>
      </w:r>
      <w:r>
        <w:rPr>
          <w:rFonts w:cs="Times New Roman" w:ascii="Times New Roman" w:hAnsi="Times New Roman"/>
          <w:szCs w:val="24"/>
        </w:rPr>
        <w:t>rinta Re</w:t>
      </w:r>
      <w:r>
        <w:rPr>
          <w:rFonts w:cs="Times New Roman" w:ascii="Times New Roman" w:hAnsi="Times New Roman"/>
        </w:rPr>
        <w:t>is (primavera), Rua João Bayer Sobrinho, Ponte Ângelo Cipriani, M</w:t>
      </w:r>
      <w:r>
        <w:rPr>
          <w:rFonts w:cs="Times New Roman" w:ascii="Times New Roman" w:hAnsi="Times New Roman"/>
          <w:szCs w:val="24"/>
        </w:rPr>
        <w:t>orro da Cruz.</w:t>
      </w:r>
    </w:p>
    <w:p>
      <w:pPr>
        <w:pStyle w:val="NoSpacing"/>
        <w:rPr>
          <w:rFonts w:ascii="Times New Roman" w:hAnsi="Times New Roman" w:cs="Times New Roman"/>
        </w:rPr>
      </w:pPr>
      <w:r>
        <w:rPr>
          <w:rFonts w:cs="Times New Roman" w:ascii="Times New Roman" w:hAnsi="Times New Roman"/>
        </w:rPr>
      </w:r>
    </w:p>
    <w:p>
      <w:pPr>
        <w:pStyle w:val="NoSpacing"/>
        <w:jc w:val="both"/>
        <w:rPr/>
      </w:pPr>
      <w:r>
        <w:rPr/>
        <w:drawing>
          <wp:inline distT="0" distB="0" distL="0" distR="0">
            <wp:extent cx="5400040" cy="3517900"/>
            <wp:effectExtent l="0" t="0" r="0" b="0"/>
            <wp:docPr id="9"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
                    <pic:cNvPicPr>
                      <a:picLocks noChangeAspect="1" noChangeArrowheads="1"/>
                    </pic:cNvPicPr>
                  </pic:nvPicPr>
                  <pic:blipFill>
                    <a:blip r:embed="rId10"/>
                    <a:stretch>
                      <a:fillRect/>
                    </a:stretch>
                  </pic:blipFill>
                  <pic:spPr bwMode="auto">
                    <a:xfrm>
                      <a:off x="0" y="0"/>
                      <a:ext cx="5400040" cy="3517900"/>
                    </a:xfrm>
                    <a:prstGeom prst="rect">
                      <a:avLst/>
                    </a:prstGeom>
                  </pic:spPr>
                </pic:pic>
              </a:graphicData>
            </a:graphic>
          </wp:inline>
        </w:drawing>
      </w:r>
    </w:p>
    <w:p>
      <w:pPr>
        <w:pStyle w:val="NoSpacing"/>
        <w:jc w:val="both"/>
        <w:rPr>
          <w:rFonts w:ascii="Times New Roman" w:hAnsi="Times New Roman" w:cs="Times New Roman"/>
          <w:sz w:val="20"/>
          <w:szCs w:val="20"/>
        </w:rPr>
      </w:pPr>
      <w:r>
        <w:rPr>
          <w:rFonts w:cs="Times New Roman" w:ascii="Times New Roman" w:hAnsi="Times New Roman"/>
          <w:sz w:val="20"/>
          <w:szCs w:val="20"/>
        </w:rPr>
        <w:t>Imagem 01: Roteiro Cidade Santa – Trecho 1</w:t>
      </w:r>
    </w:p>
    <w:p>
      <w:pPr>
        <w:pStyle w:val="NoSpacing"/>
        <w:jc w:val="both"/>
        <w:rPr>
          <w:rFonts w:ascii="Times New Roman" w:hAnsi="Times New Roman" w:cs="Times New Roman"/>
          <w:sz w:val="20"/>
          <w:szCs w:val="20"/>
        </w:rPr>
      </w:pPr>
      <w:r>
        <w:rPr>
          <w:rFonts w:cs="Times New Roman" w:ascii="Times New Roman" w:hAnsi="Times New Roman"/>
          <w:sz w:val="20"/>
          <w:szCs w:val="20"/>
        </w:rPr>
        <w:t xml:space="preserve">Fonte: João Facchini (2018) </w:t>
      </w:r>
    </w:p>
    <w:p>
      <w:pPr>
        <w:pStyle w:val="NoSpacing"/>
        <w:rPr>
          <w:rFonts w:ascii="Times New Roman" w:hAnsi="Times New Roman" w:cs="Times New Roman"/>
        </w:rPr>
      </w:pPr>
      <w:r>
        <w:rPr>
          <w:rFonts w:cs="Times New Roman" w:ascii="Times New Roman" w:hAnsi="Times New Roman"/>
        </w:rPr>
      </w:r>
    </w:p>
    <w:p>
      <w:pPr>
        <w:pStyle w:val="NoSpacing"/>
        <w:rPr/>
      </w:pPr>
      <w:r>
        <w:rPr/>
        <w:drawing>
          <wp:inline distT="0" distB="0" distL="0" distR="0">
            <wp:extent cx="5400040" cy="3448685"/>
            <wp:effectExtent l="0" t="0" r="0" b="0"/>
            <wp:docPr id="10"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4" descr=""/>
                    <pic:cNvPicPr>
                      <a:picLocks noChangeAspect="1" noChangeArrowheads="1"/>
                    </pic:cNvPicPr>
                  </pic:nvPicPr>
                  <pic:blipFill>
                    <a:blip r:embed="rId11"/>
                    <a:stretch>
                      <a:fillRect/>
                    </a:stretch>
                  </pic:blipFill>
                  <pic:spPr bwMode="auto">
                    <a:xfrm>
                      <a:off x="0" y="0"/>
                      <a:ext cx="5400040" cy="3448685"/>
                    </a:xfrm>
                    <a:prstGeom prst="rect">
                      <a:avLst/>
                    </a:prstGeom>
                  </pic:spPr>
                </pic:pic>
              </a:graphicData>
            </a:graphic>
          </wp:inline>
        </w:drawing>
      </w:r>
    </w:p>
    <w:p>
      <w:pPr>
        <w:pStyle w:val="NoSpacing"/>
        <w:jc w:val="both"/>
        <w:rPr>
          <w:rFonts w:ascii="Times New Roman" w:hAnsi="Times New Roman" w:cs="Times New Roman"/>
          <w:sz w:val="20"/>
          <w:szCs w:val="20"/>
        </w:rPr>
      </w:pPr>
      <w:r>
        <w:rPr>
          <w:rFonts w:cs="Times New Roman" w:ascii="Times New Roman" w:hAnsi="Times New Roman"/>
          <w:sz w:val="20"/>
          <w:szCs w:val="20"/>
        </w:rPr>
        <w:t>Imagem 02: Roteiro Cidade Santa – Trecho 2</w:t>
      </w:r>
    </w:p>
    <w:p>
      <w:pPr>
        <w:pStyle w:val="NoSpacing"/>
        <w:jc w:val="both"/>
        <w:rPr>
          <w:rFonts w:ascii="Times New Roman" w:hAnsi="Times New Roman" w:cs="Times New Roman"/>
          <w:sz w:val="20"/>
          <w:szCs w:val="20"/>
        </w:rPr>
      </w:pPr>
      <w:r>
        <w:rPr>
          <w:rFonts w:cs="Times New Roman" w:ascii="Times New Roman" w:hAnsi="Times New Roman"/>
          <w:sz w:val="20"/>
          <w:szCs w:val="20"/>
        </w:rPr>
        <w:t xml:space="preserve">Fonte: João Facchini (2018) </w:t>
      </w:r>
    </w:p>
    <w:p>
      <w:pPr>
        <w:pStyle w:val="NoSpacing"/>
        <w:rPr>
          <w:rFonts w:ascii="Times New Roman" w:hAnsi="Times New Roman" w:cs="Times New Roman"/>
        </w:rPr>
      </w:pPr>
      <w:r>
        <w:rPr>
          <w:rFonts w:cs="Times New Roman" w:ascii="Times New Roman" w:hAnsi="Times New Roman"/>
        </w:rPr>
      </w:r>
    </w:p>
    <w:p>
      <w:pPr>
        <w:pStyle w:val="NoSpacing"/>
        <w:rPr>
          <w:rFonts w:ascii="Times New Roman" w:hAnsi="Times New Roman" w:cs="Times New Roman"/>
        </w:rPr>
      </w:pPr>
      <w:r>
        <w:rPr>
          <w:rFonts w:cs="Times New Roman" w:ascii="Times New Roman" w:hAnsi="Times New Roman"/>
        </w:rPr>
        <w:t>ROTEIRO CIRCUITO TRENTINO (EXPERIENTE)</w:t>
      </w:r>
    </w:p>
    <w:p>
      <w:pPr>
        <w:pStyle w:val="NoSpacing"/>
        <w:rPr/>
      </w:pPr>
      <w:r>
        <w:rPr>
          <w:rFonts w:cs="Times New Roman" w:ascii="Times New Roman" w:hAnsi="Times New Roman"/>
        </w:rPr>
        <w:t> </w:t>
      </w:r>
    </w:p>
    <w:p>
      <w:pPr>
        <w:pStyle w:val="NoSpacing"/>
        <w:rPr>
          <w:rFonts w:ascii="Times New Roman" w:hAnsi="Times New Roman" w:cs="Times New Roman"/>
        </w:rPr>
      </w:pPr>
      <w:r>
        <w:rPr>
          <w:rFonts w:cs="Times New Roman" w:ascii="Times New Roman" w:hAnsi="Times New Roman"/>
        </w:rPr>
      </w:r>
    </w:p>
    <w:p>
      <w:pPr>
        <w:pStyle w:val="NoSpacing"/>
        <w:rPr>
          <w:rFonts w:ascii="Times New Roman" w:hAnsi="Times New Roman" w:cs="Times New Roman"/>
        </w:rPr>
      </w:pPr>
      <w:r>
        <w:rPr>
          <w:rFonts w:cs="Times New Roman" w:ascii="Times New Roman" w:hAnsi="Times New Roman"/>
        </w:rPr>
        <w:t>1º Dia – Nova Trento (Passaporte, City Tour Santuário Santa Paulina e Centro)</w:t>
      </w:r>
    </w:p>
    <w:p>
      <w:pPr>
        <w:pStyle w:val="NoSpacing"/>
        <w:rPr>
          <w:rFonts w:ascii="Times New Roman" w:hAnsi="Times New Roman" w:cs="Times New Roman"/>
        </w:rPr>
      </w:pPr>
      <w:r>
        <w:rPr>
          <w:rFonts w:cs="Times New Roman" w:ascii="Times New Roman" w:hAnsi="Times New Roman"/>
        </w:rPr>
        <w:t>2º Dia –Centro, Ribeirão da Velha, Trinta Réis, São Valentim, Pitanga</w:t>
      </w:r>
    </w:p>
    <w:p>
      <w:pPr>
        <w:pStyle w:val="NoSpacing"/>
        <w:rPr>
          <w:rFonts w:ascii="Times New Roman" w:hAnsi="Times New Roman" w:cs="Times New Roman"/>
        </w:rPr>
      </w:pPr>
      <w:r>
        <w:rPr>
          <w:rFonts w:cs="Times New Roman" w:ascii="Times New Roman" w:hAnsi="Times New Roman"/>
        </w:rPr>
        <w:t>3º Dia – Pitanga, Maiate, Valsugana, Veado, Aguti</w:t>
      </w:r>
    </w:p>
    <w:p>
      <w:pPr>
        <w:pStyle w:val="NoSpacing"/>
        <w:rPr>
          <w:rFonts w:ascii="Times New Roman" w:hAnsi="Times New Roman" w:cs="Times New Roman"/>
        </w:rPr>
      </w:pPr>
      <w:r>
        <w:rPr>
          <w:rFonts w:cs="Times New Roman" w:ascii="Times New Roman" w:hAnsi="Times New Roman"/>
        </w:rPr>
        <w:t>4º Dia – Aguti, Baiano, São Caetano, Frederico, Centro</w:t>
      </w:r>
    </w:p>
    <w:p>
      <w:pPr>
        <w:pStyle w:val="NoSpacing"/>
        <w:rPr>
          <w:rFonts w:ascii="Times New Roman" w:hAnsi="Times New Roman" w:cs="Times New Roman"/>
        </w:rPr>
      </w:pPr>
      <w:r>
        <w:rPr>
          <w:rFonts w:cs="Times New Roman" w:ascii="Times New Roman" w:hAnsi="Times New Roman"/>
        </w:rPr>
        <w:t>5º Dia – Subida ao Morro da Cruz</w:t>
      </w:r>
    </w:p>
    <w:p>
      <w:pPr>
        <w:pStyle w:val="NoSpacing"/>
        <w:rPr>
          <w:rFonts w:ascii="Times New Roman" w:hAnsi="Times New Roman" w:cs="Times New Roman"/>
        </w:rPr>
      </w:pPr>
      <w:r>
        <w:rPr>
          <w:rFonts w:cs="Times New Roman" w:ascii="Times New Roman" w:hAnsi="Times New Roman"/>
        </w:rPr>
        <w:t> </w:t>
      </w:r>
    </w:p>
    <w:p>
      <w:pPr>
        <w:pStyle w:val="NoSpacing"/>
        <w:rPr>
          <w:rFonts w:ascii="Times New Roman" w:hAnsi="Times New Roman" w:cs="Times New Roman"/>
        </w:rPr>
      </w:pPr>
      <w:r>
        <w:rPr>
          <w:rFonts w:cs="Times New Roman" w:ascii="Times New Roman" w:hAnsi="Times New Roman"/>
        </w:rPr>
        <w:t>Distância Estimada: 130KM</w:t>
      </w:r>
    </w:p>
    <w:p>
      <w:pPr>
        <w:pStyle w:val="NoSpacing"/>
        <w:rPr>
          <w:rFonts w:ascii="Times New Roman" w:hAnsi="Times New Roman" w:cs="Times New Roman"/>
        </w:rPr>
      </w:pPr>
      <w:r>
        <w:rPr>
          <w:rFonts w:cs="Times New Roman" w:ascii="Times New Roman" w:hAnsi="Times New Roman"/>
        </w:rPr>
      </w:r>
    </w:p>
    <w:p>
      <w:pPr>
        <w:pStyle w:val="NoSpacing"/>
        <w:rPr/>
      </w:pPr>
      <w:r>
        <w:rPr/>
        <w:drawing>
          <wp:inline distT="0" distB="0" distL="0" distR="0">
            <wp:extent cx="5400040" cy="2475865"/>
            <wp:effectExtent l="0" t="0" r="0" b="0"/>
            <wp:docPr id="11"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descr=""/>
                    <pic:cNvPicPr>
                      <a:picLocks noChangeAspect="1" noChangeArrowheads="1"/>
                    </pic:cNvPicPr>
                  </pic:nvPicPr>
                  <pic:blipFill>
                    <a:blip r:embed="rId12"/>
                    <a:stretch>
                      <a:fillRect/>
                    </a:stretch>
                  </pic:blipFill>
                  <pic:spPr bwMode="auto">
                    <a:xfrm>
                      <a:off x="0" y="0"/>
                      <a:ext cx="5400040" cy="2475865"/>
                    </a:xfrm>
                    <a:prstGeom prst="rect">
                      <a:avLst/>
                    </a:prstGeom>
                  </pic:spPr>
                </pic:pic>
              </a:graphicData>
            </a:graphic>
          </wp:inline>
        </w:drawing>
      </w:r>
    </w:p>
    <w:p>
      <w:pPr>
        <w:pStyle w:val="NoSpacing"/>
        <w:rPr>
          <w:rFonts w:ascii="Times New Roman" w:hAnsi="Times New Roman" w:cs="Times New Roman"/>
          <w:sz w:val="20"/>
          <w:szCs w:val="20"/>
        </w:rPr>
      </w:pPr>
      <w:r>
        <w:rPr>
          <w:rFonts w:cs="Times New Roman" w:ascii="Times New Roman" w:hAnsi="Times New Roman"/>
          <w:sz w:val="20"/>
          <w:szCs w:val="20"/>
        </w:rPr>
        <w:t>Imagem 03: Roteiro Circuito Trentino</w:t>
      </w:r>
    </w:p>
    <w:p>
      <w:pPr>
        <w:pStyle w:val="NoSpacing"/>
        <w:rPr>
          <w:rFonts w:ascii="Times New Roman" w:hAnsi="Times New Roman" w:cs="Times New Roman"/>
          <w:sz w:val="20"/>
          <w:szCs w:val="20"/>
        </w:rPr>
      </w:pPr>
      <w:r>
        <w:rPr>
          <w:rFonts w:cs="Times New Roman" w:ascii="Times New Roman" w:hAnsi="Times New Roman"/>
          <w:sz w:val="20"/>
          <w:szCs w:val="20"/>
        </w:rPr>
        <w:t>Fonte: João Facchini (2018)</w:t>
      </w:r>
    </w:p>
    <w:p>
      <w:pPr>
        <w:pStyle w:val="NoSpacing"/>
        <w:rPr>
          <w:rFonts w:ascii="Times New Roman" w:hAnsi="Times New Roman" w:cs="Times New Roman"/>
        </w:rPr>
      </w:pPr>
      <w:r>
        <w:rPr>
          <w:rFonts w:cs="Times New Roman" w:ascii="Times New Roman" w:hAnsi="Times New Roman"/>
        </w:rPr>
      </w:r>
    </w:p>
    <w:p>
      <w:pPr>
        <w:pStyle w:val="NoSpacing"/>
        <w:rPr>
          <w:rFonts w:ascii="Times New Roman" w:hAnsi="Times New Roman" w:cs="Times New Roman"/>
          <w:lang w:eastAsia="pt-BR" w:bidi="ar-SA"/>
        </w:rPr>
      </w:pPr>
      <w:r>
        <w:rPr>
          <w:rFonts w:cs="Times New Roman" w:ascii="Times New Roman" w:hAnsi="Times New Roman"/>
          <w:lang w:eastAsia="pt-BR" w:bidi="ar-SA"/>
        </w:rPr>
        <w:t>ROTEIRO CIRCUITO VALE SAGRADO (EXPERIENTE)</w:t>
      </w:r>
    </w:p>
    <w:p>
      <w:pPr>
        <w:pStyle w:val="NoSpacing"/>
        <w:rPr>
          <w:rFonts w:ascii="Times New Roman" w:hAnsi="Times New Roman" w:cs="Times New Roman"/>
          <w:lang w:eastAsia="pt-BR" w:bidi="ar-SA"/>
        </w:rPr>
      </w:pPr>
      <w:r>
        <w:rPr>
          <w:rFonts w:cs="Times New Roman" w:ascii="Times New Roman" w:hAnsi="Times New Roman"/>
          <w:lang w:eastAsia="pt-BR" w:bidi="ar-SA"/>
        </w:rPr>
      </w:r>
    </w:p>
    <w:p>
      <w:pPr>
        <w:pStyle w:val="NoSpacing"/>
        <w:rPr>
          <w:rFonts w:ascii="Times New Roman" w:hAnsi="Times New Roman" w:cs="Times New Roman"/>
          <w:lang w:eastAsia="pt-BR" w:bidi="ar-SA"/>
        </w:rPr>
      </w:pPr>
      <w:r>
        <w:rPr>
          <w:rFonts w:cs="Times New Roman" w:ascii="Times New Roman" w:hAnsi="Times New Roman"/>
          <w:lang w:eastAsia="pt-BR" w:bidi="ar-SA"/>
        </w:rPr>
        <w:t>1º DIA – Nova Trento (Passaporte, City Tour Santuário Santa Paulina e Centro)</w:t>
      </w:r>
    </w:p>
    <w:p>
      <w:pPr>
        <w:pStyle w:val="NoSpacing"/>
        <w:rPr>
          <w:rFonts w:ascii="Times New Roman" w:hAnsi="Times New Roman" w:cs="Times New Roman"/>
          <w:lang w:eastAsia="pt-BR" w:bidi="ar-SA"/>
        </w:rPr>
      </w:pPr>
      <w:r>
        <w:rPr>
          <w:rFonts w:cs="Times New Roman" w:ascii="Times New Roman" w:hAnsi="Times New Roman"/>
          <w:lang w:eastAsia="pt-BR" w:bidi="ar-SA"/>
        </w:rPr>
        <w:t>2º DIA – Nova Trento, São Roque, São Valentim, Bonito, Valsugana, Pinheiral</w:t>
      </w:r>
    </w:p>
    <w:p>
      <w:pPr>
        <w:pStyle w:val="NoSpacing"/>
        <w:rPr>
          <w:rFonts w:ascii="Times New Roman" w:hAnsi="Times New Roman" w:cs="Times New Roman"/>
          <w:lang w:eastAsia="pt-BR" w:bidi="ar-SA"/>
        </w:rPr>
      </w:pPr>
      <w:r>
        <w:rPr>
          <w:rFonts w:cs="Times New Roman" w:ascii="Times New Roman" w:hAnsi="Times New Roman"/>
          <w:lang w:eastAsia="pt-BR" w:bidi="ar-SA"/>
        </w:rPr>
        <w:t>3º DIA – Pinheiral, Fortuna, Garcia, Angelina</w:t>
      </w:r>
    </w:p>
    <w:p>
      <w:pPr>
        <w:pStyle w:val="NoSpacing"/>
        <w:rPr>
          <w:rFonts w:ascii="Times New Roman" w:hAnsi="Times New Roman" w:cs="Times New Roman"/>
          <w:lang w:eastAsia="pt-BR" w:bidi="ar-SA"/>
        </w:rPr>
      </w:pPr>
      <w:r>
        <w:rPr>
          <w:rFonts w:cs="Times New Roman" w:ascii="Times New Roman" w:hAnsi="Times New Roman"/>
          <w:lang w:eastAsia="pt-BR" w:bidi="ar-SA"/>
        </w:rPr>
        <w:t>4º DIA – Angelina, Alto Garcia, Rancho de Tábuas, Taquaras, Rancho Queimado, Angelina</w:t>
      </w:r>
    </w:p>
    <w:p>
      <w:pPr>
        <w:pStyle w:val="NoSpacing"/>
        <w:rPr>
          <w:rFonts w:ascii="Times New Roman" w:hAnsi="Times New Roman" w:cs="Times New Roman"/>
          <w:lang w:eastAsia="pt-BR" w:bidi="ar-SA"/>
        </w:rPr>
      </w:pPr>
      <w:r>
        <w:rPr>
          <w:rFonts w:cs="Times New Roman" w:ascii="Times New Roman" w:hAnsi="Times New Roman"/>
          <w:lang w:eastAsia="pt-BR" w:bidi="ar-SA"/>
        </w:rPr>
        <w:t>5º DIA – Angelina, Linha Chaves, Garcia, Major Gercino, Colonia, São João Batista</w:t>
      </w:r>
    </w:p>
    <w:p>
      <w:pPr>
        <w:pStyle w:val="NoSpacing"/>
        <w:rPr>
          <w:rFonts w:ascii="Times New Roman" w:hAnsi="Times New Roman" w:cs="Times New Roman"/>
          <w:lang w:eastAsia="pt-BR" w:bidi="ar-SA"/>
        </w:rPr>
      </w:pPr>
      <w:r>
        <w:rPr>
          <w:rFonts w:cs="Times New Roman" w:ascii="Times New Roman" w:hAnsi="Times New Roman"/>
          <w:lang w:eastAsia="pt-BR" w:bidi="ar-SA"/>
        </w:rPr>
        <w:t xml:space="preserve">6 º DIA – São João Batista, Ponta Fina, Ribeirão da Velha, Trinta Reis, Morro da Cruz </w:t>
      </w:r>
    </w:p>
    <w:p>
      <w:pPr>
        <w:pStyle w:val="NoSpacing"/>
        <w:rPr>
          <w:rFonts w:ascii="Times New Roman" w:hAnsi="Times New Roman" w:cs="Times New Roman"/>
          <w:lang w:eastAsia="pt-BR" w:bidi="ar-SA"/>
        </w:rPr>
      </w:pPr>
      <w:r>
        <w:rPr>
          <w:rFonts w:cs="Times New Roman" w:ascii="Times New Roman" w:hAnsi="Times New Roman"/>
          <w:lang w:eastAsia="pt-BR" w:bidi="ar-SA"/>
        </w:rPr>
        <w:t> </w:t>
      </w:r>
    </w:p>
    <w:p>
      <w:pPr>
        <w:pStyle w:val="NoSpacing"/>
        <w:rPr>
          <w:rFonts w:ascii="Times New Roman" w:hAnsi="Times New Roman" w:cs="Times New Roman"/>
          <w:lang w:eastAsia="pt-BR" w:bidi="ar-SA"/>
        </w:rPr>
      </w:pPr>
      <w:r>
        <w:rPr>
          <w:rFonts w:cs="Times New Roman" w:ascii="Times New Roman" w:hAnsi="Times New Roman"/>
          <w:lang w:eastAsia="pt-BR" w:bidi="ar-SA"/>
        </w:rPr>
        <w:t>Distância Total Estimada: 240KM</w:t>
      </w:r>
    </w:p>
    <w:p>
      <w:pPr>
        <w:pStyle w:val="NoSpacing"/>
        <w:rPr>
          <w:rFonts w:ascii="Times New Roman" w:hAnsi="Times New Roman" w:cs="Times New Roman"/>
        </w:rPr>
      </w:pPr>
      <w:r>
        <w:rPr>
          <w:rFonts w:cs="Times New Roman" w:ascii="Times New Roman" w:hAnsi="Times New Roman"/>
        </w:rPr>
      </w:r>
    </w:p>
    <w:p>
      <w:pPr>
        <w:pStyle w:val="NoSpacing"/>
        <w:rPr/>
      </w:pPr>
      <w:r>
        <w:rPr/>
        <w:drawing>
          <wp:inline distT="0" distB="0" distL="0" distR="0">
            <wp:extent cx="5129530" cy="2566670"/>
            <wp:effectExtent l="0" t="0" r="0" b="0"/>
            <wp:docPr id="12"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descr=""/>
                    <pic:cNvPicPr>
                      <a:picLocks noChangeAspect="1" noChangeArrowheads="1"/>
                    </pic:cNvPicPr>
                  </pic:nvPicPr>
                  <pic:blipFill>
                    <a:blip r:embed="rId13"/>
                    <a:stretch>
                      <a:fillRect/>
                    </a:stretch>
                  </pic:blipFill>
                  <pic:spPr bwMode="auto">
                    <a:xfrm>
                      <a:off x="0" y="0"/>
                      <a:ext cx="5129530" cy="2566670"/>
                    </a:xfrm>
                    <a:prstGeom prst="rect">
                      <a:avLst/>
                    </a:prstGeom>
                  </pic:spPr>
                </pic:pic>
              </a:graphicData>
            </a:graphic>
          </wp:inline>
        </w:drawing>
      </w:r>
    </w:p>
    <w:p>
      <w:pPr>
        <w:pStyle w:val="NoSpacing"/>
        <w:rPr>
          <w:rFonts w:ascii="Times New Roman" w:hAnsi="Times New Roman" w:cs="Times New Roman"/>
          <w:sz w:val="20"/>
          <w:szCs w:val="20"/>
          <w:lang w:eastAsia="pt-BR" w:bidi="ar-SA"/>
        </w:rPr>
      </w:pPr>
      <w:r>
        <w:rPr>
          <w:rFonts w:cs="Times New Roman" w:ascii="Times New Roman" w:hAnsi="Times New Roman"/>
          <w:sz w:val="20"/>
          <w:szCs w:val="20"/>
          <w:lang w:eastAsia="pt-BR" w:bidi="ar-SA"/>
        </w:rPr>
        <w:t xml:space="preserve">Imagem 04: Roteiro Vale Sagrado </w:t>
      </w:r>
    </w:p>
    <w:p>
      <w:pPr>
        <w:pStyle w:val="NoSpacing"/>
        <w:rPr/>
      </w:pPr>
      <w:r>
        <w:rPr>
          <w:rFonts w:cs="Times New Roman" w:ascii="Times New Roman" w:hAnsi="Times New Roman"/>
          <w:sz w:val="20"/>
          <w:szCs w:val="20"/>
          <w:lang w:eastAsia="pt-BR" w:bidi="ar-SA"/>
        </w:rPr>
        <w:t xml:space="preserve">Fonte: </w:t>
      </w:r>
      <w:r>
        <w:rPr>
          <w:rFonts w:cs="Times New Roman" w:ascii="Times New Roman" w:hAnsi="Times New Roman"/>
          <w:sz w:val="20"/>
          <w:szCs w:val="20"/>
        </w:rPr>
        <w:t>João Facchini</w:t>
      </w:r>
      <w:r>
        <w:rPr>
          <w:rFonts w:cs="Times New Roman" w:ascii="Times New Roman" w:hAnsi="Times New Roman"/>
          <w:sz w:val="20"/>
          <w:szCs w:val="20"/>
          <w:lang w:eastAsia="pt-BR" w:bidi="ar-SA"/>
        </w:rPr>
        <w:t xml:space="preserve"> (2018)</w:t>
      </w:r>
    </w:p>
    <w:p>
      <w:pPr>
        <w:pStyle w:val="NoSpacing"/>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szCs w:val="21"/>
        </w:rPr>
        <w:t>A grande territorialidade rural mantém viva a produção agrícola que nos levou a pensar em mais uma alternativa de venda desses produtos, onde criamos em 09 de</w:t>
      </w:r>
      <w:r>
        <w:rPr>
          <w:rFonts w:cs="Times New Roman" w:ascii="Times New Roman" w:hAnsi="Times New Roman"/>
        </w:rPr>
        <w:t xml:space="preserve"> abril de 2017 a </w:t>
      </w:r>
      <w:r>
        <w:rPr>
          <w:rFonts w:cs="Times New Roman" w:ascii="Times New Roman" w:hAnsi="Times New Roman"/>
          <w:b/>
        </w:rPr>
        <w:t>Feira da Agricultura Familiar e Artesanato</w:t>
      </w:r>
      <w:r>
        <w:rPr>
          <w:rFonts w:cs="Times New Roman" w:ascii="Times New Roman" w:hAnsi="Times New Roman"/>
        </w:rPr>
        <w:t>, que cada vez mais vem se consolidando.</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4843145" cy="2724785"/>
            <wp:effectExtent l="0" t="0" r="0" b="0"/>
            <wp:docPr id="13"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0" descr=""/>
                    <pic:cNvPicPr>
                      <a:picLocks noChangeAspect="1" noChangeArrowheads="1"/>
                    </pic:cNvPicPr>
                  </pic:nvPicPr>
                  <pic:blipFill>
                    <a:blip r:embed="rId14"/>
                    <a:stretch>
                      <a:fillRect/>
                    </a:stretch>
                  </pic:blipFill>
                  <pic:spPr bwMode="auto">
                    <a:xfrm>
                      <a:off x="0" y="0"/>
                      <a:ext cx="4843145" cy="272478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09: Feira da Agricultura Familiar e Artesanato</w:t>
      </w:r>
    </w:p>
    <w:p>
      <w:pPr>
        <w:pStyle w:val="Standard"/>
        <w:jc w:val="both"/>
        <w:rPr>
          <w:rFonts w:ascii="Times New Roman" w:hAnsi="Times New Roman" w:cs="Times New Roman"/>
          <w:sz w:val="20"/>
          <w:szCs w:val="20"/>
        </w:rPr>
      </w:pPr>
      <w:r>
        <w:rPr>
          <w:rFonts w:cs="Times New Roman" w:ascii="Times New Roman" w:hAnsi="Times New Roman"/>
          <w:sz w:val="20"/>
          <w:szCs w:val="20"/>
        </w:rPr>
        <w:t>Fonte: Camila Ohana de Souza (2018)</w:t>
      </w:r>
    </w:p>
    <w:p>
      <w:pPr>
        <w:pStyle w:val="Standard"/>
        <w:jc w:val="both"/>
        <w:rPr>
          <w:rFonts w:ascii="Times New Roman" w:hAnsi="Times New Roman" w:cs="Times New Roman"/>
          <w:sz w:val="20"/>
          <w:szCs w:val="20"/>
        </w:rPr>
      </w:pPr>
      <w:r>
        <w:rPr>
          <w:rFonts w:cs="Times New Roman" w:ascii="Times New Roman" w:hAnsi="Times New Roman"/>
          <w:sz w:val="20"/>
          <w:szCs w:val="20"/>
        </w:rPr>
      </w:r>
    </w:p>
    <w:p>
      <w:pPr>
        <w:pStyle w:val="Standard"/>
        <w:jc w:val="both"/>
        <w:rPr>
          <w:rFonts w:ascii="Times New Roman" w:hAnsi="Times New Roman" w:cs="Times New Roman"/>
        </w:rPr>
      </w:pPr>
      <w:r>
        <w:rPr>
          <w:rFonts w:cs="Times New Roman" w:ascii="Times New Roman" w:hAnsi="Times New Roman"/>
        </w:rPr>
        <w:t xml:space="preserve">Através de pesquisa realizada pelo historiador Izaque do Borba Correa, identificou-se que, no ano de 1899, Santa Paulina, juntamente com membros da Congregação e da Banda Musical Padre Sabbatini, em função de uma festa na Igreja Matriz de Camboriú, percorreu a pé o trajeto de Nova Trento a Camboriú, passando ainda pelos municípios de Canelinha e Tijucas, num total de 60km apenas em área rural. Hoje este caminho está sendo estruturado, permitindo assim a realização de caminhadas, que já vem acontecendo desde cinco (05) de maio de 2017; sua potencialidade é tamanha que está sendo considerado pelos que o percorrem o Caminho de Compostela Brasileiro. Além deste, há também diversas peregrinações realizadas tanto dentro do território de Nova Trento quanto oriundas de outros municípios, dentre elas pode-se citar: </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rFonts w:cs="Times New Roman" w:ascii="Times New Roman" w:hAnsi="Times New Roman"/>
        </w:rPr>
        <w:t xml:space="preserve">- </w:t>
      </w:r>
      <w:r>
        <w:rPr>
          <w:rFonts w:cs="Times New Roman" w:ascii="Times New Roman" w:hAnsi="Times New Roman"/>
          <w:bCs/>
        </w:rPr>
        <w:t xml:space="preserve">Cidade de Itapema (SC) – Caminhada Queremos Ver Jesus – 61 km </w:t>
      </w:r>
      <w:r>
        <w:rPr>
          <w:rFonts w:cs="Times New Roman" w:ascii="Times New Roman" w:hAnsi="Times New Roman"/>
        </w:rPr>
        <w:t>de caminhada</w:t>
      </w:r>
    </w:p>
    <w:p>
      <w:pPr>
        <w:pStyle w:val="Standard"/>
        <w:jc w:val="both"/>
        <w:rPr/>
      </w:pPr>
      <w:r>
        <w:rPr>
          <w:rStyle w:val="Strong"/>
          <w:rFonts w:cs="Times New Roman" w:ascii="Times New Roman" w:hAnsi="Times New Roman"/>
          <w:b w:val="false"/>
        </w:rPr>
        <w:t xml:space="preserve">- Cidade de Dr. Pedrinho (SC) </w:t>
      </w:r>
      <w:r>
        <w:rPr>
          <w:rFonts w:cs="Times New Roman" w:ascii="Times New Roman" w:hAnsi="Times New Roman"/>
        </w:rPr>
        <w:t>– 126 Km 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de Tubarão (SC)</w:t>
      </w:r>
      <w:r>
        <w:rPr>
          <w:rFonts w:cs="Times New Roman" w:ascii="Times New Roman" w:hAnsi="Times New Roman"/>
        </w:rPr>
        <w:t xml:space="preserve"> – 250 Km 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de Balneário Camboriú (SC)</w:t>
      </w:r>
      <w:r>
        <w:rPr>
          <w:rFonts w:cs="Times New Roman" w:ascii="Times New Roman" w:hAnsi="Times New Roman"/>
        </w:rPr>
        <w:t xml:space="preserve"> – 74 km 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de Imbituba (SC)</w:t>
      </w:r>
      <w:r>
        <w:rPr>
          <w:rFonts w:cs="Times New Roman" w:ascii="Times New Roman" w:hAnsi="Times New Roman"/>
        </w:rPr>
        <w:t xml:space="preserve"> – 168 km 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de Criciúma (SC)</w:t>
      </w:r>
      <w:r>
        <w:rPr>
          <w:rFonts w:cs="Times New Roman" w:ascii="Times New Roman" w:hAnsi="Times New Roman"/>
        </w:rPr>
        <w:t xml:space="preserve"> – 280 km de caminhada</w:t>
      </w:r>
    </w:p>
    <w:p>
      <w:pPr>
        <w:pStyle w:val="Standard"/>
        <w:jc w:val="both"/>
        <w:rPr/>
      </w:pPr>
      <w:r>
        <w:rPr>
          <w:rStyle w:val="Strong"/>
          <w:rFonts w:cs="Times New Roman" w:ascii="Times New Roman" w:hAnsi="Times New Roman"/>
          <w:b w:val="false"/>
        </w:rPr>
        <w:t xml:space="preserve">- Cidade Lauro Müller (SC) – 300 km </w:t>
      </w:r>
      <w:r>
        <w:rPr>
          <w:rFonts w:cs="Times New Roman" w:ascii="Times New Roman" w:hAnsi="Times New Roman"/>
        </w:rPr>
        <w:t>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de Itajaí (SC)</w:t>
      </w:r>
      <w:r>
        <w:rPr>
          <w:rFonts w:cs="Times New Roman" w:ascii="Times New Roman" w:hAnsi="Times New Roman"/>
        </w:rPr>
        <w:t xml:space="preserve"> – 70 km de caminhada</w:t>
      </w:r>
    </w:p>
    <w:p>
      <w:pPr>
        <w:pStyle w:val="Standard"/>
        <w:jc w:val="both"/>
        <w:rPr/>
      </w:pPr>
      <w:r>
        <w:rPr>
          <w:rFonts w:cs="Times New Roman" w:ascii="Times New Roman" w:hAnsi="Times New Roman"/>
        </w:rPr>
        <w:t xml:space="preserve">- </w:t>
      </w:r>
      <w:r>
        <w:rPr>
          <w:rStyle w:val="Strong"/>
          <w:rFonts w:cs="Times New Roman" w:ascii="Times New Roman" w:hAnsi="Times New Roman"/>
          <w:b w:val="false"/>
        </w:rPr>
        <w:t>Cidade São Leopoldo (RS)</w:t>
      </w:r>
      <w:r>
        <w:rPr>
          <w:rFonts w:cs="Times New Roman" w:ascii="Times New Roman" w:hAnsi="Times New Roman"/>
        </w:rPr>
        <w:t xml:space="preserve"> – 680 km de caminhada</w:t>
      </w:r>
    </w:p>
    <w:p>
      <w:pPr>
        <w:pStyle w:val="Standard"/>
        <w:jc w:val="both"/>
        <w:rPr>
          <w:rFonts w:ascii="Times New Roman" w:hAnsi="Times New Roman" w:cs="Times New Roman"/>
        </w:rPr>
      </w:pPr>
      <w:r>
        <w:rPr>
          <w:rFonts w:cs="Times New Roman" w:ascii="Times New Roman" w:hAnsi="Times New Roman"/>
        </w:rPr>
      </w:r>
    </w:p>
    <w:p>
      <w:pPr>
        <w:pStyle w:val="Standard"/>
        <w:jc w:val="both"/>
        <w:rPr/>
      </w:pPr>
      <w:r>
        <w:rPr/>
        <w:drawing>
          <wp:inline distT="0" distB="0" distL="0" distR="0">
            <wp:extent cx="5344795" cy="3888105"/>
            <wp:effectExtent l="0" t="0" r="0" b="0"/>
            <wp:docPr id="14"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1" descr=""/>
                    <pic:cNvPicPr>
                      <a:picLocks noChangeAspect="1" noChangeArrowheads="1"/>
                    </pic:cNvPicPr>
                  </pic:nvPicPr>
                  <pic:blipFill>
                    <a:blip r:embed="rId15"/>
                    <a:stretch>
                      <a:fillRect/>
                    </a:stretch>
                  </pic:blipFill>
                  <pic:spPr bwMode="auto">
                    <a:xfrm>
                      <a:off x="0" y="0"/>
                      <a:ext cx="5344795" cy="3888105"/>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 xml:space="preserve">Imagem 05: Caminho de Santa Paulina – Amabilíssimo </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Standard"/>
        <w:jc w:val="both"/>
        <w:rPr/>
      </w:pPr>
      <w:r>
        <w:rPr/>
        <mc:AlternateContent>
          <mc:Choice Requires="wps">
            <w:drawing>
              <wp:inline distT="0" distB="0" distL="0" distR="0">
                <wp:extent cx="6538595" cy="4904740"/>
                <wp:effectExtent l="0" t="0" r="0" b="0"/>
                <wp:docPr id="1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6"/>
                        <a:stretch/>
                      </pic:blipFill>
                      <pic:spPr>
                        <a:xfrm rot="5400000">
                          <a:off x="0" y="0"/>
                          <a:ext cx="6537960" cy="4904280"/>
                        </a:xfrm>
                        <a:prstGeom prst="rect">
                          <a:avLst/>
                        </a:prstGeom>
                        <a:ln>
                          <a:noFill/>
                        </a:ln>
                      </pic:spPr>
                    </pic:pic>
                  </a:graphicData>
                </a:graphic>
              </wp:inline>
            </w:drawing>
          </mc:Choice>
          <mc:Fallback>
            <w:pict>
              <v:rect id="shape_0" stroked="f" style="position:absolute;margin-left:-64.3pt;margin-top:64.3pt;width:514.75pt;height:386.1pt;rotation:90">
                <v:imagedata r:id="rId16" o:detectmouseclick="t"/>
                <w10:wrap type="none"/>
                <v:stroke color="#3465a4" joinstyle="round" endcap="flat"/>
              </v:rect>
            </w:pict>
          </mc:Fallback>
        </mc:AlternateContent>
      </w:r>
    </w:p>
    <w:p>
      <w:pPr>
        <w:pStyle w:val="Standard"/>
        <w:jc w:val="both"/>
        <w:rPr>
          <w:rFonts w:ascii="Times New Roman" w:hAnsi="Times New Roman" w:cs="Times New Roman"/>
          <w:sz w:val="20"/>
          <w:szCs w:val="20"/>
        </w:rPr>
      </w:pPr>
      <w:r>
        <w:rPr>
          <w:rFonts w:cs="Times New Roman" w:ascii="Times New Roman" w:hAnsi="Times New Roman"/>
          <w:sz w:val="20"/>
          <w:szCs w:val="20"/>
        </w:rPr>
        <w:t>Foto 10: Capela Nossa Senhora de Fátima – Espraiado 2 (Caminho de Santa Paulina – Amabilíssimo)</w:t>
      </w:r>
    </w:p>
    <w:p>
      <w:pPr>
        <w:pStyle w:val="Standard"/>
        <w:jc w:val="both"/>
        <w:rPr>
          <w:rFonts w:ascii="Times New Roman" w:hAnsi="Times New Roman" w:cs="Times New Roman"/>
          <w:sz w:val="20"/>
          <w:szCs w:val="20"/>
        </w:rPr>
      </w:pPr>
      <w:r>
        <w:rPr>
          <w:rFonts w:cs="Times New Roman" w:ascii="Times New Roman" w:hAnsi="Times New Roman"/>
          <w:sz w:val="20"/>
          <w:szCs w:val="20"/>
        </w:rPr>
        <w:t>Fonte: Equipe técnica (2018)</w:t>
      </w:r>
    </w:p>
    <w:p>
      <w:pPr>
        <w:pStyle w:val="Standard"/>
        <w:jc w:val="both"/>
        <w:rPr/>
      </w:pPr>
      <w:r>
        <w:rPr/>
        <w:drawing>
          <wp:inline distT="0" distB="0" distL="0" distR="0">
            <wp:extent cx="5400040" cy="3037840"/>
            <wp:effectExtent l="0" t="0" r="0" b="0"/>
            <wp:docPr id="16"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9" descr=""/>
                    <pic:cNvPicPr>
                      <a:picLocks noChangeAspect="1" noChangeArrowheads="1"/>
                    </pic:cNvPicPr>
                  </pic:nvPicPr>
                  <pic:blipFill>
                    <a:blip r:embed="rId17"/>
                    <a:stretch>
                      <a:fillRect/>
                    </a:stretch>
                  </pic:blipFill>
                  <pic:spPr bwMode="auto">
                    <a:xfrm>
                      <a:off x="0" y="0"/>
                      <a:ext cx="5400040" cy="3037840"/>
                    </a:xfrm>
                    <a:prstGeom prst="rect">
                      <a:avLst/>
                    </a:prstGeom>
                  </pic:spPr>
                </pic:pic>
              </a:graphicData>
            </a:graphic>
          </wp:inline>
        </w:drawing>
      </w:r>
    </w:p>
    <w:p>
      <w:pPr>
        <w:pStyle w:val="Standard"/>
        <w:jc w:val="both"/>
        <w:rPr>
          <w:rFonts w:ascii="Times New Roman" w:hAnsi="Times New Roman" w:cs="Times New Roman"/>
          <w:sz w:val="20"/>
          <w:szCs w:val="20"/>
        </w:rPr>
      </w:pPr>
      <w:r>
        <w:rPr>
          <w:rFonts w:cs="Times New Roman" w:ascii="Times New Roman" w:hAnsi="Times New Roman"/>
          <w:sz w:val="20"/>
          <w:szCs w:val="20"/>
        </w:rPr>
        <w:t>Foto 11: Caminhantes Percorrendo o Caminho de Santa Paulina – Amabilíssimo</w:t>
      </w:r>
    </w:p>
    <w:p>
      <w:pPr>
        <w:pStyle w:val="Standard"/>
        <w:jc w:val="both"/>
        <w:rPr>
          <w:rFonts w:ascii="Times New Roman" w:hAnsi="Times New Roman" w:cs="Times New Roman"/>
          <w:sz w:val="20"/>
          <w:szCs w:val="20"/>
        </w:rPr>
      </w:pPr>
      <w:r>
        <w:rPr>
          <w:rFonts w:cs="Times New Roman" w:ascii="Times New Roman" w:hAnsi="Times New Roman"/>
          <w:sz w:val="20"/>
          <w:szCs w:val="20"/>
        </w:rPr>
        <w:t>Fonte: Marcos Pagelcof (2018)</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t>Segundo pesquisa realizada em 2013, em parceria com a Santa Catarina Turismo (SANTUR), registrou-se uma presença média de 80 (oitenta) mil pessoas/mês, entre turistas, excursionistas e visitantes em Nova Trento. Nova pesquisa sendo realizada em 2018 para atualização de dados.</w:t>
      </w:r>
    </w:p>
    <w:p>
      <w:pPr>
        <w:pStyle w:val="Standard"/>
        <w:jc w:val="both"/>
        <w:rPr>
          <w:rFonts w:ascii="Times New Roman" w:hAnsi="Times New Roman" w:cs="Times New Roman"/>
        </w:rPr>
      </w:pPr>
      <w:r>
        <w:rPr>
          <w:rFonts w:cs="Times New Roman" w:ascii="Times New Roman" w:hAnsi="Times New Roman"/>
        </w:rPr>
      </w:r>
    </w:p>
    <w:p>
      <w:pPr>
        <w:pStyle w:val="Standard"/>
        <w:jc w:val="both"/>
        <w:rPr>
          <w:rFonts w:ascii="Times New Roman" w:hAnsi="Times New Roman" w:cs="Times New Roman"/>
        </w:rPr>
      </w:pPr>
      <w:r>
        <w:rPr>
          <w:rFonts w:cs="Times New Roman" w:ascii="Times New Roman" w:hAnsi="Times New Roman"/>
        </w:rPr>
      </w:r>
    </w:p>
    <w:p>
      <w:pPr>
        <w:pStyle w:val="Normal"/>
        <w:numPr>
          <w:ilvl w:val="0"/>
          <w:numId w:val="5"/>
        </w:numPr>
        <w:tabs>
          <w:tab w:val="left" w:pos="360" w:leader="none"/>
        </w:tabs>
        <w:suppressAutoHyphens w:val="false"/>
        <w:spacing w:before="240" w:after="240"/>
        <w:ind w:left="567" w:hanging="567"/>
        <w:jc w:val="both"/>
        <w:textAlignment w:val="auto"/>
        <w:rPr>
          <w:rFonts w:ascii="Times New Roman" w:hAnsi="Times New Roman" w:cs="Times New Roman"/>
          <w:b/>
          <w:b/>
        </w:rPr>
      </w:pPr>
      <w:r>
        <w:rPr>
          <w:rFonts w:cs="Times New Roman" w:ascii="Times New Roman" w:hAnsi="Times New Roman"/>
          <w:b/>
        </w:rPr>
        <w:t>ATIVIDADES A DESENVOLVER</w:t>
      </w:r>
    </w:p>
    <w:p>
      <w:pPr>
        <w:pStyle w:val="Normal"/>
        <w:spacing w:before="120" w:after="120"/>
        <w:jc w:val="both"/>
        <w:rPr>
          <w:rFonts w:ascii="Times New Roman" w:hAnsi="Times New Roman" w:cs="Times New Roman"/>
          <w:bCs/>
        </w:rPr>
      </w:pPr>
      <w:r>
        <w:rPr>
          <w:rFonts w:cs="Times New Roman" w:ascii="Times New Roman" w:hAnsi="Times New Roman"/>
          <w:bCs/>
        </w:rPr>
        <w:t>Os trabalhos de elaboração do Plano de Desenvolvimento Territorial do Turismo deverão contemplar, no mínimo, as etapas e respectivas atividades técnicas apresentadas a seguir:</w:t>
      </w:r>
    </w:p>
    <w:p>
      <w:pPr>
        <w:pStyle w:val="Normal"/>
        <w:numPr>
          <w:ilvl w:val="0"/>
          <w:numId w:val="7"/>
        </w:numPr>
        <w:tabs>
          <w:tab w:val="left" w:pos="360" w:leader="none"/>
          <w:tab w:val="left" w:pos="426" w:leader="none"/>
        </w:tabs>
        <w:suppressAutoHyphens w:val="false"/>
        <w:spacing w:before="120" w:after="120"/>
        <w:ind w:left="426" w:firstLine="54"/>
        <w:jc w:val="both"/>
        <w:textAlignment w:val="auto"/>
        <w:rPr>
          <w:rFonts w:ascii="Times New Roman" w:hAnsi="Times New Roman" w:cs="Times New Roman"/>
        </w:rPr>
      </w:pPr>
      <w:r>
        <w:rPr>
          <w:rFonts w:cs="Times New Roman" w:ascii="Times New Roman" w:hAnsi="Times New Roman"/>
        </w:rPr>
        <w:t>Formulação de Objetivos;</w:t>
      </w:r>
    </w:p>
    <w:p>
      <w:pPr>
        <w:pStyle w:val="Normal"/>
        <w:numPr>
          <w:ilvl w:val="0"/>
          <w:numId w:val="7"/>
        </w:numPr>
        <w:tabs>
          <w:tab w:val="left" w:pos="360" w:leader="none"/>
          <w:tab w:val="left" w:pos="426" w:leader="none"/>
        </w:tabs>
        <w:suppressAutoHyphens w:val="false"/>
        <w:spacing w:before="120" w:after="120"/>
        <w:ind w:left="426" w:firstLine="54"/>
        <w:jc w:val="both"/>
        <w:textAlignment w:val="auto"/>
        <w:rPr>
          <w:rFonts w:ascii="Times New Roman" w:hAnsi="Times New Roman" w:cs="Times New Roman"/>
        </w:rPr>
      </w:pPr>
      <w:r>
        <w:rPr>
          <w:rFonts w:cs="Times New Roman" w:ascii="Times New Roman" w:hAnsi="Times New Roman"/>
        </w:rPr>
        <w:t>Diagnóstico Estratégico da Área e das Atividades Turísticas;</w:t>
      </w:r>
    </w:p>
    <w:p>
      <w:pPr>
        <w:pStyle w:val="Normal"/>
        <w:numPr>
          <w:ilvl w:val="0"/>
          <w:numId w:val="7"/>
        </w:numPr>
        <w:tabs>
          <w:tab w:val="left" w:pos="360" w:leader="none"/>
          <w:tab w:val="left" w:pos="426" w:leader="none"/>
        </w:tabs>
        <w:suppressAutoHyphens w:val="false"/>
        <w:spacing w:before="120" w:after="120"/>
        <w:ind w:left="426" w:firstLine="54"/>
        <w:jc w:val="both"/>
        <w:textAlignment w:val="auto"/>
        <w:rPr>
          <w:rFonts w:ascii="Times New Roman" w:hAnsi="Times New Roman" w:cs="Times New Roman"/>
        </w:rPr>
      </w:pPr>
      <w:r>
        <w:rPr>
          <w:rFonts w:cs="Times New Roman" w:ascii="Times New Roman" w:hAnsi="Times New Roman"/>
        </w:rPr>
        <w:t>Formulação de Estratégias;</w:t>
      </w:r>
    </w:p>
    <w:p>
      <w:pPr>
        <w:pStyle w:val="Normal"/>
        <w:numPr>
          <w:ilvl w:val="0"/>
          <w:numId w:val="7"/>
        </w:numPr>
        <w:tabs>
          <w:tab w:val="left" w:pos="360" w:leader="none"/>
          <w:tab w:val="left" w:pos="426" w:leader="none"/>
        </w:tabs>
        <w:suppressAutoHyphens w:val="false"/>
        <w:spacing w:before="120" w:after="120"/>
        <w:ind w:left="426" w:firstLine="54"/>
        <w:jc w:val="both"/>
        <w:textAlignment w:val="auto"/>
        <w:rPr>
          <w:rFonts w:ascii="Times New Roman" w:hAnsi="Times New Roman" w:cs="Times New Roman"/>
        </w:rPr>
      </w:pPr>
      <w:r>
        <w:rPr>
          <w:rFonts w:cs="Times New Roman" w:ascii="Times New Roman" w:hAnsi="Times New Roman"/>
        </w:rPr>
        <w:t xml:space="preserve">Plano de Ação: Seleção de Procedimentos, Ações e Projetos. </w:t>
      </w:r>
    </w:p>
    <w:p>
      <w:pPr>
        <w:pStyle w:val="Normal"/>
        <w:spacing w:before="240" w:after="240"/>
        <w:jc w:val="both"/>
        <w:rPr/>
      </w:pPr>
      <w:r>
        <w:rPr>
          <w:rFonts w:cs="Times New Roman" w:ascii="Times New Roman" w:hAnsi="Times New Roman"/>
          <w:b/>
          <w:bCs/>
        </w:rPr>
        <w:t>Parte I -</w:t>
      </w:r>
      <w:r>
        <w:rPr>
          <w:rFonts w:cs="Times New Roman" w:ascii="Times New Roman" w:hAnsi="Times New Roman"/>
          <w:b/>
          <w:bCs/>
          <w:u w:val="single"/>
        </w:rPr>
        <w:t xml:space="preserve"> </w:t>
      </w:r>
      <w:r>
        <w:rPr>
          <w:rFonts w:cs="Times New Roman" w:ascii="Times New Roman" w:hAnsi="Times New Roman"/>
          <w:b/>
          <w:u w:val="single"/>
        </w:rPr>
        <w:t>Formulação dos Objetivos do Plano</w:t>
      </w:r>
    </w:p>
    <w:p>
      <w:pPr>
        <w:pStyle w:val="BodyText2"/>
        <w:spacing w:lineRule="auto" w:line="240" w:before="120" w:after="120"/>
        <w:jc w:val="both"/>
        <w:rPr/>
      </w:pPr>
      <w:r>
        <w:rPr/>
        <w:t xml:space="preserve">Definição dos objetivos gerais e específicos do Plano e sua relação com as políticas de desenvolvimento turístico do País e do estado em que se localiza a área objeto do plano. Para serem operacionais, os objetivos devem ser precisos, hierarquizados em função de sua importância, coerentes com as condições do mercado e com as disponibilidades de orçamento, controláveis e assumidos pelo conjunto dos agentes envolvidos. Obviamente, os objetivos </w:t>
      </w:r>
      <w:r>
        <w:rPr>
          <w:i/>
        </w:rPr>
        <w:t>específicos</w:t>
      </w:r>
      <w:r>
        <w:rPr/>
        <w:t xml:space="preserve"> não podem ser formulados com precisão até que se complete a fase de coleta de informação e diagnóstico, durante a qual serão enumerados os problemas prioritários a resolver, os instrumentos disponíveis etc. Se for necessário, entretanto, deve-se visualizar de algum modo a situação futura desejada, ou que se pretenda alcançar com o plano, com a finalidade de estabelecer limites e direcionar a coleta da informação requerida para o diagnóstico. </w:t>
      </w:r>
    </w:p>
    <w:p>
      <w:pPr>
        <w:pStyle w:val="Normal"/>
        <w:spacing w:before="240" w:after="240"/>
        <w:jc w:val="both"/>
        <w:rPr>
          <w:rFonts w:ascii="Times New Roman" w:hAnsi="Times New Roman" w:cs="Times New Roman"/>
          <w:b/>
          <w:b/>
          <w:bCs/>
        </w:rPr>
      </w:pPr>
      <w:r>
        <w:rPr>
          <w:rFonts w:cs="Times New Roman" w:ascii="Times New Roman" w:hAnsi="Times New Roman"/>
          <w:b/>
          <w:bCs/>
        </w:rPr>
        <w:t>Parte II – Diagnóstico Estratégico da Área e das Atividades Turísticas</w:t>
      </w:r>
    </w:p>
    <w:p>
      <w:pPr>
        <w:pStyle w:val="Normal"/>
        <w:overflowPunct w:val="false"/>
        <w:spacing w:before="120" w:after="120"/>
        <w:jc w:val="both"/>
        <w:rPr/>
      </w:pPr>
      <w:r>
        <w:rPr>
          <w:rFonts w:cs="Times New Roman" w:ascii="Times New Roman" w:hAnsi="Times New Roman"/>
        </w:rPr>
        <w:t>Nesta seção, propõe-se realizar uma coleta de informação, inclusive com pesquisa primária, caso necessário, que permita obter: (i) a avaliação da situação estrutural da atividade turística na Área; e (ii) a posição competitiva relativa da Área no mercado turístico, frente a consumidores e competidores. Para isto, a coleta e a análise da informação deverão cobrir desde a oferta e a demanda turística da Região até a situação da infraestrutura e dos serviços básicos, o quadro institucional e os aspectos socioambientais relacionados com as atividades turísticas.</w:t>
      </w:r>
    </w:p>
    <w:p>
      <w:pPr>
        <w:pStyle w:val="Subpar"/>
        <w:numPr>
          <w:ilvl w:val="0"/>
          <w:numId w:val="8"/>
        </w:numPr>
        <w:tabs>
          <w:tab w:val="left" w:pos="567" w:leader="none"/>
          <w:tab w:val="left" w:pos="720" w:leader="none"/>
        </w:tabs>
        <w:spacing w:before="240" w:after="240"/>
        <w:ind w:left="567" w:hanging="567"/>
        <w:rPr>
          <w:lang w:val="pt-BR"/>
        </w:rPr>
      </w:pPr>
      <w:r>
        <w:rPr>
          <w:b/>
          <w:szCs w:val="24"/>
          <w:u w:val="single"/>
          <w:lang w:val="pt-BR"/>
        </w:rPr>
        <w:t>Análise do mercado turístico (demanda e oferta) da Área Turística:</w:t>
      </w:r>
    </w:p>
    <w:p>
      <w:pPr>
        <w:pStyle w:val="Subpar"/>
        <w:rPr>
          <w:lang w:val="pt-BR"/>
        </w:rPr>
      </w:pPr>
      <w:r>
        <w:rPr>
          <w:szCs w:val="24"/>
          <w:lang w:val="pt-BR"/>
        </w:rPr>
        <w:t>P</w:t>
      </w:r>
      <w:r>
        <w:rPr>
          <w:bCs/>
          <w:szCs w:val="24"/>
          <w:lang w:val="pt-BR"/>
        </w:rPr>
        <w:t>ara efeito prático e de sistematização da informação, recomenda-se realizar a análise do mercado turístico em função da vocação principal da Área Turística (atual ou potencial), traduzida nos tipos de turismo ou linhas de produto (de sol e praia, náutico, de aventura, cultural etc.) nos quais a Área queira apostar. A motivação principal da viagem ajuda a delimitar os diferentes tipos de turismo quando se está realizando a análise da demanda. A análise do mercado turístico deverá integrar os seguintes elementos:</w:t>
      </w:r>
    </w:p>
    <w:p>
      <w:pPr>
        <w:pStyle w:val="BodyTextIndent3"/>
        <w:numPr>
          <w:ilvl w:val="0"/>
          <w:numId w:val="9"/>
        </w:numPr>
        <w:tabs>
          <w:tab w:val="left" w:pos="720" w:leader="none"/>
          <w:tab w:val="left" w:pos="851" w:leader="none"/>
          <w:tab w:val="left" w:pos="1560" w:leader="none"/>
          <w:tab w:val="left" w:pos="2160" w:leader="none"/>
          <w:tab w:val="left" w:pos="2760" w:leader="none"/>
          <w:tab w:val="left" w:pos="3360" w:leader="none"/>
          <w:tab w:val="left" w:pos="3960" w:leader="none"/>
          <w:tab w:val="left" w:pos="4560" w:leader="none"/>
          <w:tab w:val="left" w:pos="5160" w:leader="none"/>
          <w:tab w:val="left" w:pos="5760" w:leader="none"/>
          <w:tab w:val="left" w:pos="6360" w:leader="none"/>
          <w:tab w:val="left" w:pos="6960" w:leader="none"/>
          <w:tab w:val="left" w:pos="7560" w:leader="none"/>
          <w:tab w:val="left" w:pos="8160" w:leader="none"/>
          <w:tab w:val="left" w:pos="8760" w:leader="none"/>
          <w:tab w:val="left" w:pos="9360" w:leader="none"/>
        </w:tabs>
        <w:spacing w:before="120" w:after="120"/>
        <w:ind w:left="851" w:hanging="284"/>
        <w:jc w:val="both"/>
        <w:rPr/>
      </w:pPr>
      <w:r>
        <w:rPr>
          <w:b/>
          <w:sz w:val="24"/>
          <w:szCs w:val="24"/>
          <w:u w:val="single"/>
        </w:rPr>
        <w:t>Pesquisa Primária ou Secundária para a análise da demanda turística atual</w:t>
      </w:r>
      <w:r>
        <w:rPr>
          <w:sz w:val="24"/>
          <w:szCs w:val="24"/>
        </w:rPr>
        <w:t xml:space="preserve"> da AT, que permita aprofundar o conhecimento do comportamento da demanda, uma vez no destino. Recomenda-se que a análise inclua: </w:t>
      </w:r>
    </w:p>
    <w:p>
      <w:pPr>
        <w:pStyle w:val="BodyTextIndent3"/>
        <w:numPr>
          <w:ilvl w:val="1"/>
          <w:numId w:val="9"/>
        </w:numPr>
        <w:tabs>
          <w:tab w:val="left" w:pos="1134" w:leader="none"/>
          <w:tab w:val="left" w:pos="1276" w:leader="none"/>
          <w:tab w:val="left" w:pos="1353" w:leader="none"/>
          <w:tab w:val="left" w:pos="1560" w:leader="none"/>
          <w:tab w:val="left" w:pos="2160" w:leader="none"/>
          <w:tab w:val="left" w:pos="2760" w:leader="none"/>
          <w:tab w:val="left" w:pos="3360" w:leader="none"/>
          <w:tab w:val="left" w:pos="3960" w:leader="none"/>
          <w:tab w:val="left" w:pos="4560" w:leader="none"/>
          <w:tab w:val="left" w:pos="5160" w:leader="none"/>
          <w:tab w:val="left" w:pos="5760" w:leader="none"/>
          <w:tab w:val="left" w:pos="6360" w:leader="none"/>
          <w:tab w:val="left" w:pos="6960" w:leader="none"/>
          <w:tab w:val="left" w:pos="7560" w:leader="none"/>
          <w:tab w:val="left" w:pos="8160" w:leader="none"/>
          <w:tab w:val="left" w:pos="8760" w:leader="none"/>
          <w:tab w:val="left" w:pos="9360" w:leader="none"/>
        </w:tabs>
        <w:spacing w:before="120" w:after="120"/>
        <w:ind w:left="1134" w:hanging="283"/>
        <w:jc w:val="both"/>
        <w:rPr/>
      </w:pPr>
      <w:r>
        <w:rPr>
          <w:sz w:val="24"/>
          <w:szCs w:val="24"/>
        </w:rPr>
        <w:t xml:space="preserve">Caracterização do </w:t>
      </w:r>
      <w:r>
        <w:rPr>
          <w:color w:val="000000"/>
          <w:sz w:val="24"/>
          <w:szCs w:val="24"/>
        </w:rPr>
        <w:t>perfil quantitativo dos visitantes atuais</w:t>
      </w:r>
      <w:r>
        <w:rPr>
          <w:sz w:val="24"/>
          <w:szCs w:val="24"/>
        </w:rPr>
        <w:t>: volume registrado nos últimos anos, e projeções futuras (cinco anos);</w:t>
      </w:r>
    </w:p>
    <w:p>
      <w:pPr>
        <w:pStyle w:val="BodyTextIndent3"/>
        <w:numPr>
          <w:ilvl w:val="1"/>
          <w:numId w:val="9"/>
        </w:numPr>
        <w:tabs>
          <w:tab w:val="left" w:pos="1134" w:leader="none"/>
          <w:tab w:val="left" w:pos="1276" w:leader="none"/>
          <w:tab w:val="left" w:pos="1353" w:leader="none"/>
          <w:tab w:val="left" w:pos="1560" w:leader="none"/>
          <w:tab w:val="left" w:pos="2160" w:leader="none"/>
          <w:tab w:val="left" w:pos="2760" w:leader="none"/>
          <w:tab w:val="left" w:pos="3360" w:leader="none"/>
          <w:tab w:val="left" w:pos="3960" w:leader="none"/>
          <w:tab w:val="left" w:pos="4560" w:leader="none"/>
          <w:tab w:val="left" w:pos="5160" w:leader="none"/>
          <w:tab w:val="left" w:pos="5760" w:leader="none"/>
          <w:tab w:val="left" w:pos="6360" w:leader="none"/>
          <w:tab w:val="left" w:pos="6960" w:leader="none"/>
          <w:tab w:val="left" w:pos="7560" w:leader="none"/>
          <w:tab w:val="left" w:pos="8160" w:leader="none"/>
          <w:tab w:val="left" w:pos="8760" w:leader="none"/>
          <w:tab w:val="left" w:pos="9360" w:leader="none"/>
        </w:tabs>
        <w:spacing w:before="120" w:after="120"/>
        <w:ind w:left="1134" w:hanging="283"/>
        <w:jc w:val="both"/>
        <w:rPr/>
      </w:pPr>
      <w:r>
        <w:rPr>
          <w:color w:val="000000"/>
          <w:sz w:val="24"/>
          <w:szCs w:val="24"/>
        </w:rPr>
        <w:t>Caracterização do perfil qualitativo</w:t>
      </w:r>
      <w:r>
        <w:rPr>
          <w:sz w:val="24"/>
          <w:szCs w:val="24"/>
        </w:rPr>
        <w:t xml:space="preserve"> dos segmentos atuais, incluindo: identificação da motivação da viagem</w:t>
      </w:r>
      <w:r>
        <w:rPr/>
        <w:t xml:space="preserve">, </w:t>
      </w:r>
      <w:r>
        <w:rPr>
          <w:sz w:val="24"/>
          <w:szCs w:val="24"/>
        </w:rPr>
        <w:t xml:space="preserve">época de realização da viagem (alta e baixa temporada), permanência média, gasto médio, equipamento e serviços turísticos preferidos (hotel, apart-hotel etc.), meios de transporte escolhidos, modo de viajar (em família, com amigos etc.); </w:t>
      </w:r>
    </w:p>
    <w:p>
      <w:pPr>
        <w:pStyle w:val="BodyTextIndent3"/>
        <w:numPr>
          <w:ilvl w:val="1"/>
          <w:numId w:val="9"/>
        </w:numPr>
        <w:tabs>
          <w:tab w:val="left" w:pos="1134" w:leader="none"/>
          <w:tab w:val="left" w:pos="1276" w:leader="none"/>
          <w:tab w:val="left" w:pos="1353" w:leader="none"/>
          <w:tab w:val="left" w:pos="1560" w:leader="none"/>
          <w:tab w:val="left" w:pos="2160" w:leader="none"/>
          <w:tab w:val="left" w:pos="2760" w:leader="none"/>
          <w:tab w:val="left" w:pos="3360" w:leader="none"/>
          <w:tab w:val="left" w:pos="3960" w:leader="none"/>
          <w:tab w:val="left" w:pos="4560" w:leader="none"/>
          <w:tab w:val="left" w:pos="5160" w:leader="none"/>
          <w:tab w:val="left" w:pos="5760" w:leader="none"/>
          <w:tab w:val="left" w:pos="6360" w:leader="none"/>
          <w:tab w:val="left" w:pos="6960" w:leader="none"/>
          <w:tab w:val="left" w:pos="7560" w:leader="none"/>
          <w:tab w:val="left" w:pos="8160" w:leader="none"/>
          <w:tab w:val="left" w:pos="8760" w:leader="none"/>
          <w:tab w:val="left" w:pos="9360" w:leader="none"/>
        </w:tabs>
        <w:spacing w:before="120" w:after="120"/>
        <w:ind w:left="1134" w:hanging="283"/>
        <w:jc w:val="both"/>
        <w:rPr>
          <w:sz w:val="24"/>
          <w:szCs w:val="24"/>
        </w:rPr>
      </w:pPr>
      <w:r>
        <w:rPr>
          <w:sz w:val="24"/>
          <w:szCs w:val="24"/>
        </w:rPr>
        <w:t>Identificação do portfólio estratégico de produtos turísticos (neste portfólio, deve-se discriminar os produtos turísticos preferidos atuais).</w:t>
      </w:r>
    </w:p>
    <w:p>
      <w:pPr>
        <w:pStyle w:val="BodyTextIndent3"/>
        <w:numPr>
          <w:ilvl w:val="0"/>
          <w:numId w:val="9"/>
        </w:numPr>
        <w:tabs>
          <w:tab w:val="left" w:pos="720" w:leader="none"/>
          <w:tab w:val="left" w:pos="851" w:leader="none"/>
          <w:tab w:val="left" w:pos="1560" w:leader="none"/>
          <w:tab w:val="left" w:pos="2160" w:leader="none"/>
          <w:tab w:val="left" w:pos="2760" w:leader="none"/>
          <w:tab w:val="left" w:pos="3360" w:leader="none"/>
          <w:tab w:val="left" w:pos="3960" w:leader="none"/>
          <w:tab w:val="left" w:pos="4560" w:leader="none"/>
          <w:tab w:val="left" w:pos="5160" w:leader="none"/>
          <w:tab w:val="left" w:pos="5760" w:leader="none"/>
          <w:tab w:val="left" w:pos="6360" w:leader="none"/>
          <w:tab w:val="left" w:pos="6960" w:leader="none"/>
          <w:tab w:val="left" w:pos="7560" w:leader="none"/>
          <w:tab w:val="left" w:pos="8160" w:leader="none"/>
          <w:tab w:val="left" w:pos="8760" w:leader="none"/>
          <w:tab w:val="left" w:pos="9360" w:leader="none"/>
        </w:tabs>
        <w:spacing w:before="120" w:after="120"/>
        <w:ind w:left="851" w:hanging="284"/>
        <w:jc w:val="both"/>
        <w:rPr/>
      </w:pPr>
      <w:r>
        <w:rPr>
          <w:bCs/>
          <w:sz w:val="24"/>
          <w:szCs w:val="24"/>
        </w:rPr>
        <w:t xml:space="preserve">Pesquisa Primária ou Secundária para a </w:t>
      </w:r>
      <w:r>
        <w:rPr>
          <w:b/>
          <w:bCs/>
          <w:sz w:val="24"/>
          <w:szCs w:val="24"/>
          <w:u w:val="single"/>
        </w:rPr>
        <w:t>Análise da demanda turística potencial</w:t>
      </w:r>
      <w:r>
        <w:rPr>
          <w:bCs/>
          <w:sz w:val="24"/>
          <w:szCs w:val="24"/>
        </w:rPr>
        <w:t xml:space="preserve"> AT, que permita identificar os turistas que ainda não tenham chegado, mas que poderiam chegar, apontando suas motivações e características principais:  </w:t>
      </w:r>
    </w:p>
    <w:p>
      <w:pPr>
        <w:pStyle w:val="Normal"/>
        <w:numPr>
          <w:ilvl w:val="0"/>
          <w:numId w:val="10"/>
        </w:numPr>
        <w:tabs>
          <w:tab w:val="left" w:pos="720" w:leader="none"/>
        </w:tabs>
        <w:suppressAutoHyphens w:val="false"/>
        <w:spacing w:before="120" w:after="120"/>
        <w:ind w:left="1418" w:hanging="425"/>
        <w:jc w:val="both"/>
        <w:textAlignment w:val="auto"/>
        <w:rPr/>
      </w:pPr>
      <w:r>
        <w:rPr>
          <w:rFonts w:cs="Times New Roman" w:ascii="Times New Roman" w:hAnsi="Times New Roman"/>
          <w:color w:val="000000"/>
        </w:rPr>
        <w:t>Identificação dos segmentos potencias e de elementos críticos que influem no processo de tomada de decisões de compra da viagem:</w:t>
      </w:r>
      <w:r>
        <w:rPr>
          <w:rFonts w:cs="Times New Roman" w:ascii="Times New Roman" w:hAnsi="Times New Roman"/>
        </w:rPr>
        <w:t xml:space="preserve"> distância a percorrer, custos, nível de serviço, nível de segurança, atrativos existentes, divulgação do destino;</w:t>
      </w:r>
    </w:p>
    <w:p>
      <w:pPr>
        <w:pStyle w:val="Normal"/>
        <w:numPr>
          <w:ilvl w:val="0"/>
          <w:numId w:val="10"/>
        </w:numPr>
        <w:tabs>
          <w:tab w:val="left" w:pos="720" w:leader="none"/>
        </w:tabs>
        <w:suppressAutoHyphens w:val="false"/>
        <w:spacing w:before="120" w:after="120"/>
        <w:ind w:left="1418" w:hanging="425"/>
        <w:jc w:val="both"/>
        <w:textAlignment w:val="auto"/>
        <w:rPr/>
      </w:pPr>
      <w:r>
        <w:rPr>
          <w:rFonts w:cs="Times New Roman" w:ascii="Times New Roman" w:hAnsi="Times New Roman"/>
        </w:rPr>
        <w:t xml:space="preserve">Grau de </w:t>
      </w:r>
      <w:r>
        <w:rPr>
          <w:rFonts w:cs="Times New Roman" w:ascii="Times New Roman" w:hAnsi="Times New Roman"/>
          <w:color w:val="000000"/>
        </w:rPr>
        <w:t>conhecimento e interesse da demanda potencial</w:t>
      </w:r>
      <w:r>
        <w:rPr>
          <w:rFonts w:cs="Times New Roman" w:ascii="Times New Roman" w:hAnsi="Times New Roman"/>
        </w:rPr>
        <w:t xml:space="preserve"> pela Área Turística;</w:t>
      </w:r>
    </w:p>
    <w:p>
      <w:pPr>
        <w:pStyle w:val="Normal"/>
        <w:numPr>
          <w:ilvl w:val="0"/>
          <w:numId w:val="10"/>
        </w:numPr>
        <w:tabs>
          <w:tab w:val="left" w:pos="720" w:leader="none"/>
        </w:tabs>
        <w:suppressAutoHyphens w:val="false"/>
        <w:spacing w:before="120" w:after="120"/>
        <w:ind w:left="1418" w:hanging="425"/>
        <w:jc w:val="both"/>
        <w:textAlignment w:val="auto"/>
        <w:rPr>
          <w:rFonts w:ascii="Times New Roman" w:hAnsi="Times New Roman" w:cs="Times New Roman"/>
        </w:rPr>
      </w:pPr>
      <w:r>
        <w:rPr>
          <w:rFonts w:cs="Times New Roman" w:ascii="Times New Roman" w:hAnsi="Times New Roman"/>
        </w:rPr>
        <w:t>Identificação dos destinos competidores, em função dos diferentes segmentos potenciais.</w:t>
      </w:r>
    </w:p>
    <w:p>
      <w:pPr>
        <w:pStyle w:val="Normal"/>
        <w:spacing w:before="120" w:after="120"/>
        <w:ind w:left="851" w:hanging="284"/>
        <w:jc w:val="both"/>
        <w:rPr/>
      </w:pPr>
      <w:r>
        <w:rPr>
          <w:rFonts w:cs="Times New Roman" w:ascii="Times New Roman" w:hAnsi="Times New Roman"/>
        </w:rPr>
        <w:t xml:space="preserve">c) Pesquisa Primária ou Secundária para a </w:t>
      </w:r>
      <w:r>
        <w:rPr>
          <w:rFonts w:cs="Times New Roman" w:ascii="Times New Roman" w:hAnsi="Times New Roman"/>
          <w:b/>
          <w:u w:val="single"/>
        </w:rPr>
        <w:t>análise da o</w:t>
      </w:r>
      <w:r>
        <w:rPr>
          <w:rFonts w:cs="Times New Roman" w:ascii="Times New Roman" w:hAnsi="Times New Roman"/>
          <w:b/>
          <w:bCs/>
          <w:u w:val="single"/>
        </w:rPr>
        <w:t>ferta turística da Área Turística</w:t>
      </w:r>
      <w:r>
        <w:rPr>
          <w:rFonts w:cs="Times New Roman" w:ascii="Times New Roman" w:hAnsi="Times New Roman"/>
          <w:bCs/>
          <w:i/>
        </w:rPr>
        <w:t>,</w:t>
      </w:r>
      <w:r>
        <w:rPr>
          <w:rFonts w:cs="Times New Roman" w:ascii="Times New Roman" w:hAnsi="Times New Roman"/>
          <w:bCs/>
        </w:rPr>
        <w:t xml:space="preserve"> identificando-se os principais gargalos existentes. A</w:t>
      </w:r>
      <w:r>
        <w:rPr>
          <w:rFonts w:cs="Times New Roman" w:ascii="Times New Roman" w:hAnsi="Times New Roman"/>
        </w:rPr>
        <w:t xml:space="preserve"> oferta turística refere-se tanto ao suporte natural ou patrimonial de uma área geográfica, como aos equipamentos e instalações turísticas necessárias para o aproveitamento do referido suporte, por meio do consumo turístico. No âmbito do Plano de Desenvolvimento Territorial do Turismo, deve-se analisar o estado da oferta, incluindo, especificamente:</w:t>
      </w:r>
    </w:p>
    <w:p>
      <w:pPr>
        <w:pStyle w:val="Normal"/>
        <w:numPr>
          <w:ilvl w:val="0"/>
          <w:numId w:val="11"/>
        </w:numPr>
        <w:tabs>
          <w:tab w:val="left" w:pos="720" w:leader="none"/>
          <w:tab w:val="left" w:pos="1211" w:leader="none"/>
        </w:tabs>
        <w:suppressAutoHyphens w:val="false"/>
        <w:spacing w:before="120" w:after="120"/>
        <w:ind w:left="1211" w:hanging="360"/>
        <w:jc w:val="both"/>
        <w:textAlignment w:val="auto"/>
        <w:rPr/>
      </w:pPr>
      <w:r>
        <w:rPr>
          <w:rFonts w:cs="Times New Roman" w:ascii="Times New Roman" w:hAnsi="Times New Roman"/>
          <w:i/>
        </w:rPr>
        <w:t>Identificar e analisar os recursos ou atrativos turísticos, de base natural ou patrimonial, em função dos tipos de turismo e linhas de produto nos quais a Área Turística pretende apostar</w:t>
      </w:r>
      <w:r>
        <w:rPr>
          <w:rFonts w:cs="Times New Roman" w:ascii="Times New Roman" w:hAnsi="Times New Roman"/>
        </w:rPr>
        <w:t xml:space="preserve">, avaliando-se seus pontos fortes e suas deficiências. Isto implica que a entidade responsável pela elaboração do Plano analise as atuais condições de visita </w:t>
      </w:r>
      <w:r>
        <w:rPr>
          <w:rFonts w:cs="Times New Roman" w:ascii="Times New Roman" w:hAnsi="Times New Roman"/>
          <w:i/>
        </w:rPr>
        <w:t>versus</w:t>
      </w:r>
      <w:r>
        <w:rPr>
          <w:rFonts w:cs="Times New Roman" w:ascii="Times New Roman" w:hAnsi="Times New Roman"/>
        </w:rPr>
        <w:t xml:space="preserve"> as condições potenciais, os sistemas necessários para a gestão dos fluxos turísticos, a sinalização informativa e interpretativa que será conveniente implementar ou melhorar, a necessária adequação dos recursos humanos, o nível de segurança e o tipo de gestão requerida, para cada tipo de recurso ou atrativo turístico, etc. </w:t>
      </w:r>
    </w:p>
    <w:p>
      <w:pPr>
        <w:pStyle w:val="Normal"/>
        <w:numPr>
          <w:ilvl w:val="0"/>
          <w:numId w:val="11"/>
        </w:numPr>
        <w:tabs>
          <w:tab w:val="left" w:pos="720" w:leader="none"/>
          <w:tab w:val="left" w:pos="1211" w:leader="none"/>
        </w:tabs>
        <w:suppressAutoHyphens w:val="false"/>
        <w:spacing w:before="120" w:after="120"/>
        <w:ind w:left="1211" w:hanging="360"/>
        <w:jc w:val="both"/>
        <w:textAlignment w:val="auto"/>
        <w:rPr>
          <w:rFonts w:ascii="Times New Roman" w:hAnsi="Times New Roman" w:cs="Times New Roman"/>
        </w:rPr>
      </w:pPr>
      <w:r>
        <w:rPr>
          <w:rFonts w:cs="Times New Roman" w:ascii="Times New Roman" w:hAnsi="Times New Roman"/>
        </w:rPr>
        <w:t>Junto com o estudo dos recursos ou atrativos turísticos, é preciso também proceder à avaliação dos equipamentos e serviços turísticos existentes, com o propósito de determinar se a oferta existente é capaz de satisfazer à demanda atual e potencial, tanto em termos quantitativos como qualitativos. A análise deve ser realizada segundo a ótica dos diferentes sub-setores de atividade (alojamento, alimentação, animação e lazer, congressos e convenções, operadores receptivos, informação turística, etc.). A entidade responsável pela elaboração do Plano deve analisar os seguintes elementos:</w:t>
      </w:r>
    </w:p>
    <w:p>
      <w:pPr>
        <w:pStyle w:val="Normal"/>
        <w:spacing w:before="120" w:after="120"/>
        <w:ind w:left="1416" w:hanging="0"/>
        <w:jc w:val="both"/>
        <w:rPr>
          <w:rFonts w:ascii="Times New Roman" w:hAnsi="Times New Roman" w:cs="Times New Roman"/>
        </w:rPr>
      </w:pPr>
      <w:r>
        <w:rPr>
          <w:rFonts w:cs="Times New Roman" w:ascii="Times New Roman" w:hAnsi="Times New Roman"/>
        </w:rPr>
        <w:t>Número de estabelecimentos;</w:t>
      </w:r>
    </w:p>
    <w:p>
      <w:pPr>
        <w:pStyle w:val="Normal"/>
        <w:spacing w:before="120" w:after="120"/>
        <w:ind w:left="1416" w:hanging="0"/>
        <w:jc w:val="both"/>
        <w:rPr>
          <w:rFonts w:ascii="Times New Roman" w:hAnsi="Times New Roman" w:cs="Times New Roman"/>
        </w:rPr>
      </w:pPr>
      <w:r>
        <w:rPr>
          <w:rFonts w:cs="Times New Roman" w:ascii="Times New Roman" w:hAnsi="Times New Roman"/>
        </w:rPr>
        <w:t>Capacidade, número de quartos - número de leitos;</w:t>
      </w:r>
    </w:p>
    <w:p>
      <w:pPr>
        <w:pStyle w:val="Normal"/>
        <w:spacing w:before="120" w:after="120"/>
        <w:ind w:left="1416" w:hanging="0"/>
        <w:jc w:val="both"/>
        <w:rPr>
          <w:rFonts w:ascii="Times New Roman" w:hAnsi="Times New Roman" w:cs="Times New Roman"/>
        </w:rPr>
      </w:pPr>
      <w:r>
        <w:rPr>
          <w:rFonts w:cs="Times New Roman" w:ascii="Times New Roman" w:hAnsi="Times New Roman"/>
        </w:rPr>
        <w:t>Número de empregos gerados;</w:t>
      </w:r>
    </w:p>
    <w:p>
      <w:pPr>
        <w:pStyle w:val="Normal"/>
        <w:spacing w:before="120" w:after="120"/>
        <w:ind w:left="1416" w:hanging="0"/>
        <w:jc w:val="both"/>
        <w:rPr>
          <w:rFonts w:ascii="Times New Roman" w:hAnsi="Times New Roman" w:cs="Times New Roman"/>
        </w:rPr>
      </w:pPr>
      <w:r>
        <w:rPr>
          <w:rFonts w:cs="Times New Roman" w:ascii="Times New Roman" w:hAnsi="Times New Roman"/>
        </w:rPr>
        <w:t>Taxa de ocupação.</w:t>
      </w:r>
    </w:p>
    <w:p>
      <w:pPr>
        <w:pStyle w:val="Normal"/>
        <w:spacing w:before="120" w:after="120"/>
        <w:jc w:val="both"/>
        <w:rPr>
          <w:rFonts w:ascii="Times New Roman" w:hAnsi="Times New Roman" w:cs="Times New Roman"/>
        </w:rPr>
      </w:pPr>
      <w:r>
        <w:rPr>
          <w:rFonts w:cs="Times New Roman" w:ascii="Times New Roman" w:hAnsi="Times New Roman"/>
        </w:rPr>
        <w:t xml:space="preserve">Esta análise quantitativa dos equipamentos e serviços turísticos deve ser completada do ponto de vista qualitativo, detalhando-se os seguintes aspectos: </w:t>
      </w:r>
    </w:p>
    <w:p>
      <w:pPr>
        <w:pStyle w:val="Normal"/>
        <w:numPr>
          <w:ilvl w:val="0"/>
          <w:numId w:val="12"/>
        </w:numPr>
        <w:suppressAutoHyphens w:val="false"/>
        <w:spacing w:before="120" w:after="120"/>
        <w:jc w:val="both"/>
        <w:textAlignment w:val="auto"/>
        <w:rPr/>
      </w:pPr>
      <w:r>
        <w:rPr>
          <w:rFonts w:cs="Times New Roman" w:ascii="Times New Roman" w:hAnsi="Times New Roman"/>
          <w:color w:val="000000"/>
        </w:rPr>
        <w:t>Tipos e níveis de serviço prestado, principais</w:t>
      </w:r>
      <w:r>
        <w:rPr>
          <w:rFonts w:cs="Times New Roman" w:ascii="Times New Roman" w:hAnsi="Times New Roman"/>
          <w:i/>
        </w:rPr>
        <w:t xml:space="preserve"> </w:t>
      </w:r>
      <w:r>
        <w:rPr>
          <w:rFonts w:cs="Times New Roman" w:ascii="Times New Roman" w:hAnsi="Times New Roman"/>
        </w:rPr>
        <w:t>falhas de serviços, diversificação dos serviços, possibilidade ou não de melhorá-los com novas instalações, níveis de qualidade;</w:t>
      </w:r>
    </w:p>
    <w:p>
      <w:pPr>
        <w:pStyle w:val="Normal"/>
        <w:numPr>
          <w:ilvl w:val="0"/>
          <w:numId w:val="12"/>
        </w:numPr>
        <w:suppressAutoHyphens w:val="false"/>
        <w:spacing w:before="120" w:after="120"/>
        <w:jc w:val="both"/>
        <w:textAlignment w:val="auto"/>
        <w:rPr>
          <w:rFonts w:ascii="Times New Roman" w:hAnsi="Times New Roman" w:cs="Times New Roman"/>
          <w:bCs/>
        </w:rPr>
      </w:pPr>
      <w:r>
        <w:rPr>
          <w:rFonts w:cs="Times New Roman" w:ascii="Times New Roman" w:hAnsi="Times New Roman"/>
          <w:bCs/>
        </w:rPr>
        <w:t>Análise da necessidade de capacitação de mão de obra para o turismo, em função dos subsetores de atividade turística (alojamento, alimentação etc.), por meio da verificação de oferta, nível de capacitação e demanda atual e futura. Indicar a necessidade da promoção de cursos de capacitação na área de turismo.</w:t>
      </w:r>
    </w:p>
    <w:p>
      <w:pPr>
        <w:pStyle w:val="Normal"/>
        <w:numPr>
          <w:ilvl w:val="0"/>
          <w:numId w:val="8"/>
        </w:numPr>
        <w:tabs>
          <w:tab w:val="left" w:pos="567" w:leader="none"/>
          <w:tab w:val="left" w:pos="720" w:leader="none"/>
        </w:tabs>
        <w:suppressAutoHyphens w:val="false"/>
        <w:spacing w:before="240" w:after="240"/>
        <w:ind w:left="567" w:hanging="567"/>
        <w:jc w:val="both"/>
        <w:textAlignment w:val="auto"/>
        <w:rPr/>
      </w:pPr>
      <w:r>
        <w:rPr>
          <w:rFonts w:cs="Times New Roman" w:ascii="Times New Roman" w:hAnsi="Times New Roman"/>
          <w:b/>
          <w:u w:val="single"/>
          <w:lang w:eastAsia="en-US"/>
        </w:rPr>
        <w:t>Análise da infraestrutura básica e dos serviços gerais encontrados na Área Turística:</w:t>
      </w:r>
      <w:r>
        <w:rPr>
          <w:rFonts w:cs="Times New Roman" w:ascii="Times New Roman" w:hAnsi="Times New Roman"/>
        </w:rPr>
        <w:t xml:space="preserve"> </w:t>
      </w:r>
    </w:p>
    <w:p>
      <w:pPr>
        <w:pStyle w:val="Normal"/>
        <w:spacing w:before="240" w:after="240"/>
        <w:jc w:val="both"/>
        <w:rPr/>
      </w:pPr>
      <w:r>
        <w:rPr>
          <w:rFonts w:cs="Times New Roman" w:ascii="Times New Roman" w:hAnsi="Times New Roman"/>
        </w:rPr>
        <w:t xml:space="preserve">A este componente corresponde um dos condicionantes mais evidentes do desenvolvimento turístico, já que inclui os elementos que sustentam a atividade social e produtiva: traçado das redes de comunicação, saneamento, energia, rede bancária, comércio etc. Nesta seção, pretende-se diagnosticar os aspectos relacionados com a atividade turística em </w:t>
      </w:r>
      <w:r>
        <w:rPr>
          <w:rFonts w:cs="Times New Roman" w:ascii="Times New Roman" w:hAnsi="Times New Roman"/>
          <w:b/>
        </w:rPr>
        <w:t>termos de capacidade atual dos serviços e suas principais carências, frente ao incremento futuro e à pressão do consumo</w:t>
      </w:r>
      <w:r>
        <w:rPr>
          <w:rFonts w:cs="Times New Roman" w:ascii="Times New Roman" w:hAnsi="Times New Roman"/>
        </w:rPr>
        <w:t>, em função dos objetivos propostos no Plano, considerando:</w:t>
      </w:r>
    </w:p>
    <w:p>
      <w:pPr>
        <w:pStyle w:val="Normal"/>
        <w:numPr>
          <w:ilvl w:val="0"/>
          <w:numId w:val="13"/>
        </w:numPr>
        <w:suppressAutoHyphens w:val="false"/>
        <w:spacing w:before="120" w:after="120"/>
        <w:ind w:left="1134" w:hanging="425"/>
        <w:jc w:val="both"/>
        <w:textAlignment w:val="auto"/>
        <w:rPr/>
      </w:pPr>
      <w:r>
        <w:rPr>
          <w:rFonts w:cs="Times New Roman" w:ascii="Times New Roman" w:hAnsi="Times New Roman"/>
        </w:rPr>
        <w:t xml:space="preserve">Rede viária de acesso à Área e principais atrativos, contendo </w:t>
      </w:r>
      <w:r>
        <w:rPr>
          <w:rFonts w:cs="Times New Roman" w:ascii="Times New Roman" w:hAnsi="Times New Roman"/>
          <w:bCs/>
        </w:rPr>
        <w:t xml:space="preserve">informações sobre: condições de tráfego das rodovias e da sinalização; vinculação com os atrativos turísticos; condições adversas e problemas socioambientais associados (invasão de faixas de domínio, deficiências de drenagem, pontos de erosão); informações relevantes sobre portos, aeroportos e ferrovias e sua vinculação com o turismo na área. </w:t>
      </w:r>
      <w:r>
        <w:rPr>
          <w:rFonts w:cs="Times New Roman" w:ascii="Times New Roman" w:hAnsi="Times New Roman"/>
        </w:rPr>
        <w:t>Sistema de transporte urbano, frequência e qualidade dos serviços; outras opções de locomoção nas zonas urbanas;</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Sistema de abastecimento de água: população atendida, indicando as áreas urbanas carentes de atendimento e sistemas de controle e qualidade da água distribuída;</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 xml:space="preserve">Nível de cobertura do sistema de esgotamento sanitário: população atendida, áreas urbanas não atendidas, grau de tratamento e pontos de lançamento dos efluentes; </w:t>
      </w:r>
    </w:p>
    <w:p>
      <w:pPr>
        <w:pStyle w:val="Normal"/>
        <w:numPr>
          <w:ilvl w:val="0"/>
          <w:numId w:val="13"/>
        </w:numPr>
        <w:suppressAutoHyphens w:val="false"/>
        <w:spacing w:before="120" w:after="120"/>
        <w:ind w:left="1134" w:hanging="425"/>
        <w:jc w:val="both"/>
        <w:textAlignment w:val="auto"/>
        <w:rPr/>
      </w:pPr>
      <w:r>
        <w:rPr>
          <w:rFonts w:cs="Times New Roman" w:ascii="Times New Roman" w:hAnsi="Times New Roman"/>
        </w:rPr>
        <w:t>N</w:t>
      </w:r>
      <w:r>
        <w:rPr>
          <w:rFonts w:cs="Times New Roman" w:ascii="Times New Roman" w:hAnsi="Times New Roman"/>
          <w:bCs/>
        </w:rPr>
        <w:t xml:space="preserve">ível de atendimento do sistema de limpeza urbana: população atendida, áreas urbanas não atendidas, frequência de coleta e de limpeza nos principais pontos turísticos e disposição final dos resíduos sólidos; </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 xml:space="preserve">Situação da rede de drenagem pluvial: áreas urbanas atendidas, eventual ocorrência de inundação, população atingida e danos decorrentes;  </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 xml:space="preserve">Condições dos sistemas de comunicação: cobertura dos serviços de telefonia fixa e móvel e internet; </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 xml:space="preserve">Cobertura da iluminação pública: áreas urbanas atendidas, eventuais interrupções de fornecimento de energia; </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Atendimento dos serviços de saúde: distribuição de postos, serviços ambulatoriais e capacidade de internação em hospitais ou clínicas especializadas e outros serviços correlatos:</w:t>
      </w:r>
    </w:p>
    <w:p>
      <w:pPr>
        <w:pStyle w:val="Normal"/>
        <w:numPr>
          <w:ilvl w:val="0"/>
          <w:numId w:val="13"/>
        </w:numPr>
        <w:suppressAutoHyphens w:val="false"/>
        <w:spacing w:before="120" w:after="120"/>
        <w:ind w:left="1134" w:hanging="425"/>
        <w:jc w:val="both"/>
        <w:textAlignment w:val="auto"/>
        <w:rPr>
          <w:rFonts w:ascii="Times New Roman" w:hAnsi="Times New Roman" w:cs="Times New Roman"/>
        </w:rPr>
      </w:pPr>
      <w:r>
        <w:rPr>
          <w:rFonts w:cs="Times New Roman" w:ascii="Times New Roman" w:hAnsi="Times New Roman"/>
        </w:rPr>
        <w:t xml:space="preserve">Situação de segurança referente ao aparato policial, corpo de bombeiros, salva-vidas, equipes de resgate e salvamento, nível de segurança oferecido à população e aos turistas, zonas de risco ou áreas com alta incidência de criminalidade. </w:t>
      </w:r>
    </w:p>
    <w:p>
      <w:pPr>
        <w:pStyle w:val="Subpar"/>
        <w:numPr>
          <w:ilvl w:val="0"/>
          <w:numId w:val="8"/>
        </w:numPr>
        <w:tabs>
          <w:tab w:val="left" w:pos="567" w:leader="none"/>
          <w:tab w:val="left" w:pos="720" w:leader="none"/>
        </w:tabs>
        <w:spacing w:before="240" w:after="240"/>
        <w:ind w:left="567" w:hanging="567"/>
        <w:rPr>
          <w:lang w:val="pt-BR"/>
        </w:rPr>
      </w:pPr>
      <w:r>
        <w:rPr>
          <w:b/>
          <w:szCs w:val="24"/>
          <w:u w:val="single"/>
          <w:lang w:val="pt-BR"/>
        </w:rPr>
        <w:t xml:space="preserve">Análise do Quadro Institucional da Área Turística </w:t>
      </w:r>
    </w:p>
    <w:p>
      <w:pPr>
        <w:pStyle w:val="Normal"/>
        <w:numPr>
          <w:ilvl w:val="1"/>
          <w:numId w:val="8"/>
        </w:numPr>
        <w:tabs>
          <w:tab w:val="left" w:pos="1134" w:leader="none"/>
          <w:tab w:val="left" w:pos="1440" w:leader="none"/>
        </w:tabs>
        <w:suppressAutoHyphens w:val="false"/>
        <w:spacing w:before="120" w:after="120"/>
        <w:ind w:left="1134" w:hanging="425"/>
        <w:jc w:val="both"/>
        <w:textAlignment w:val="auto"/>
        <w:rPr>
          <w:rFonts w:ascii="Times New Roman" w:hAnsi="Times New Roman" w:cs="Times New Roman"/>
          <w:bCs/>
        </w:rPr>
      </w:pPr>
      <w:r>
        <w:rPr>
          <w:rFonts w:cs="Times New Roman" w:ascii="Times New Roman" w:hAnsi="Times New Roman"/>
          <w:bCs/>
        </w:rPr>
        <w:t>Órgãos e Instituições (Federais, Estaduais, da Região ou Municipais), públicas e privadas, que atuam na gestão do turismo, com indicação do nível de governança (quando aplicável), quadro de pessoal e qualificação dos profissionais;</w:t>
      </w:r>
    </w:p>
    <w:p>
      <w:pPr>
        <w:pStyle w:val="Normal"/>
        <w:numPr>
          <w:ilvl w:val="1"/>
          <w:numId w:val="8"/>
        </w:numPr>
        <w:tabs>
          <w:tab w:val="left" w:pos="1134" w:leader="none"/>
          <w:tab w:val="left" w:pos="1440" w:leader="none"/>
        </w:tabs>
        <w:suppressAutoHyphens w:val="false"/>
        <w:spacing w:before="120" w:after="120"/>
        <w:ind w:left="1134" w:hanging="425"/>
        <w:jc w:val="both"/>
        <w:textAlignment w:val="auto"/>
        <w:rPr>
          <w:rFonts w:ascii="Times New Roman" w:hAnsi="Times New Roman" w:cs="Times New Roman"/>
          <w:bCs/>
        </w:rPr>
      </w:pPr>
      <w:r>
        <w:rPr>
          <w:rFonts w:cs="Times New Roman" w:ascii="Times New Roman" w:hAnsi="Times New Roman"/>
          <w:bCs/>
        </w:rPr>
        <w:t>Impactos e limitações das políticas públicas e da capacidade de gestão pública sobre o desenvolvimento do turismo no nível local e no conjunto da área turística;</w:t>
      </w:r>
    </w:p>
    <w:p>
      <w:pPr>
        <w:pStyle w:val="Normal"/>
        <w:numPr>
          <w:ilvl w:val="1"/>
          <w:numId w:val="8"/>
        </w:numPr>
        <w:tabs>
          <w:tab w:val="left" w:pos="1134" w:leader="none"/>
          <w:tab w:val="left" w:pos="1440" w:leader="none"/>
        </w:tabs>
        <w:suppressAutoHyphens w:val="false"/>
        <w:spacing w:before="120" w:after="120"/>
        <w:ind w:left="1134" w:hanging="425"/>
        <w:jc w:val="both"/>
        <w:textAlignment w:val="auto"/>
        <w:rPr>
          <w:rFonts w:ascii="Times New Roman" w:hAnsi="Times New Roman" w:cs="Times New Roman"/>
          <w:bCs/>
        </w:rPr>
      </w:pPr>
      <w:r>
        <w:rPr>
          <w:rFonts w:cs="Times New Roman" w:ascii="Times New Roman" w:hAnsi="Times New Roman"/>
          <w:bCs/>
        </w:rPr>
        <w:t>Organização e coordenação do processo de planejamento turístico: indicando instrumentos específicos (planos, ações e projetos, entre outros);</w:t>
      </w:r>
    </w:p>
    <w:p>
      <w:pPr>
        <w:pStyle w:val="Normal"/>
        <w:numPr>
          <w:ilvl w:val="1"/>
          <w:numId w:val="8"/>
        </w:numPr>
        <w:tabs>
          <w:tab w:val="left" w:pos="1134" w:leader="none"/>
          <w:tab w:val="left" w:pos="1440" w:leader="none"/>
        </w:tabs>
        <w:suppressAutoHyphens w:val="false"/>
        <w:spacing w:before="120" w:after="120"/>
        <w:ind w:left="1134" w:hanging="425"/>
        <w:jc w:val="both"/>
        <w:textAlignment w:val="auto"/>
        <w:rPr>
          <w:rFonts w:ascii="Times New Roman" w:hAnsi="Times New Roman" w:cs="Times New Roman"/>
          <w:bCs/>
        </w:rPr>
      </w:pPr>
      <w:r>
        <w:rPr>
          <w:rFonts w:cs="Times New Roman" w:ascii="Times New Roman" w:hAnsi="Times New Roman"/>
          <w:bCs/>
        </w:rPr>
        <w:t>Legislação urbanística, ambiental e turística, indicando, caso aplicável, necessidades específicas e aspectos críticos para o desenvolvimento turístico.</w:t>
      </w:r>
    </w:p>
    <w:p>
      <w:pPr>
        <w:pStyle w:val="Subpar"/>
        <w:numPr>
          <w:ilvl w:val="0"/>
          <w:numId w:val="8"/>
        </w:numPr>
        <w:tabs>
          <w:tab w:val="left" w:pos="567" w:leader="none"/>
          <w:tab w:val="left" w:pos="720" w:leader="none"/>
        </w:tabs>
        <w:spacing w:before="240" w:after="240"/>
        <w:ind w:left="567" w:hanging="567"/>
        <w:rPr>
          <w:b/>
          <w:b/>
          <w:szCs w:val="24"/>
          <w:u w:val="single"/>
          <w:lang w:val="pt-BR"/>
        </w:rPr>
      </w:pPr>
      <w:r>
        <w:rPr>
          <w:b/>
          <w:szCs w:val="24"/>
          <w:u w:val="single"/>
          <w:lang w:val="pt-BR"/>
        </w:rPr>
        <w:t>Análise dos aspectos socioambientais na Área Turística</w:t>
      </w:r>
    </w:p>
    <w:p>
      <w:pPr>
        <w:pStyle w:val="Normal"/>
        <w:spacing w:before="120" w:after="120"/>
        <w:jc w:val="both"/>
        <w:rPr>
          <w:rFonts w:ascii="Times New Roman" w:hAnsi="Times New Roman" w:cs="Times New Roman"/>
        </w:rPr>
      </w:pPr>
      <w:r>
        <w:rPr>
          <w:rFonts w:cs="Times New Roman" w:ascii="Times New Roman" w:hAnsi="Times New Roman"/>
        </w:rPr>
        <w:t>Análise das condições ambientais da Área Turística, orientada para identificar antecipadamente as características e fragilidades socioambientais mais relevantes, os principais riscos e salvaguardas a considerar nas etapas de planejamento e ordenamento da atividade turística, os requisitos especiais a considerar nos estudos ambientais e sociais especificamente referentes às obras; indicadores socioambientais cujo desempenho será necessário melhorar ou implementar.</w:t>
      </w:r>
    </w:p>
    <w:p>
      <w:pPr>
        <w:pStyle w:val="Normal"/>
        <w:numPr>
          <w:ilvl w:val="0"/>
          <w:numId w:val="14"/>
        </w:numPr>
        <w:suppressAutoHyphens w:val="false"/>
        <w:spacing w:before="120" w:after="120"/>
        <w:jc w:val="both"/>
        <w:textAlignment w:val="auto"/>
        <w:rPr/>
      </w:pPr>
      <w:r>
        <w:rPr>
          <w:rFonts w:cs="Times New Roman" w:ascii="Times New Roman" w:hAnsi="Times New Roman"/>
        </w:rPr>
        <w:t xml:space="preserve">Identificação e avaliação dos impactos no meio ambiente que já tenham sido causados por atividades turísticas. </w:t>
      </w:r>
      <w:r>
        <w:rPr>
          <w:rFonts w:cs="Times New Roman" w:ascii="Times New Roman" w:hAnsi="Times New Roman"/>
          <w:bCs/>
        </w:rPr>
        <w:t>Identificação e descrição de áreas degradadas</w:t>
      </w:r>
      <w:r>
        <w:rPr>
          <w:rFonts w:cs="Times New Roman" w:ascii="Times New Roman" w:hAnsi="Times New Roman"/>
        </w:rPr>
        <w:t xml:space="preserve">, suscetíveis de ocupação ou em risco de deterioração, contemplando: fatores de degradação (desmatamento clandestino, incêndios, usos inadequados); situação de qualidade dos recursos físicos e bióticos; usos potenciais; necessidades de reabilitação; </w:t>
      </w:r>
    </w:p>
    <w:p>
      <w:pPr>
        <w:pStyle w:val="Normal"/>
        <w:numPr>
          <w:ilvl w:val="0"/>
          <w:numId w:val="14"/>
        </w:numPr>
        <w:suppressAutoHyphens w:val="false"/>
        <w:spacing w:before="120" w:after="120"/>
        <w:jc w:val="both"/>
        <w:textAlignment w:val="auto"/>
        <w:rPr>
          <w:rFonts w:ascii="Times New Roman" w:hAnsi="Times New Roman" w:cs="Times New Roman"/>
        </w:rPr>
      </w:pPr>
      <w:r>
        <w:rPr>
          <w:rFonts w:cs="Times New Roman" w:ascii="Times New Roman" w:hAnsi="Times New Roman"/>
        </w:rPr>
        <w:t xml:space="preserve">Gestão ambiental pública: identificação de órgãos, instituições, políticas públicas e programas de gestão ambientais instalados ou desenvolvidos na área; metas de qualidade; medidas de proteção ambiental que afetam o desenvolvimento do turismo; capacidade institucional dos municípios e das entidades estaduais para a gestão ambiental, indicando os escritórios e equipes instalados na área; eficiência da fiscalização nas unidades de conservação; </w:t>
      </w:r>
    </w:p>
    <w:p>
      <w:pPr>
        <w:pStyle w:val="Normal"/>
        <w:numPr>
          <w:ilvl w:val="0"/>
          <w:numId w:val="14"/>
        </w:numPr>
        <w:suppressAutoHyphens w:val="false"/>
        <w:spacing w:before="120" w:after="120"/>
        <w:jc w:val="both"/>
        <w:textAlignment w:val="auto"/>
        <w:rPr>
          <w:rFonts w:ascii="Times New Roman" w:hAnsi="Times New Roman" w:cs="Times New Roman"/>
        </w:rPr>
      </w:pPr>
      <w:r>
        <w:rPr>
          <w:rFonts w:cs="Times New Roman" w:ascii="Times New Roman" w:hAnsi="Times New Roman"/>
        </w:rPr>
        <w:t>Gestão ambiental nas empresas privadas: programas de certificação ambiental das empresas turísticas da AT (consolidados ou em implementação);</w:t>
      </w:r>
    </w:p>
    <w:p>
      <w:pPr>
        <w:pStyle w:val="Normal"/>
        <w:numPr>
          <w:ilvl w:val="0"/>
          <w:numId w:val="14"/>
        </w:numPr>
        <w:suppressAutoHyphens w:val="false"/>
        <w:spacing w:before="120" w:after="120"/>
        <w:jc w:val="both"/>
        <w:textAlignment w:val="auto"/>
        <w:rPr/>
      </w:pPr>
      <w:r>
        <w:rPr>
          <w:rFonts w:cs="Times New Roman" w:ascii="Times New Roman" w:hAnsi="Times New Roman"/>
          <w:bCs/>
        </w:rPr>
        <w:t>Instrumentos de planejamento e controle territorial: Zoneamento Econômico-Ecológico, planos diretores municipais; vigência de planos, programas e projetos de outros setores de interface com o turismo, notadamente os referentes à gestão ambiental e ao desenvolvimento social;</w:t>
      </w:r>
      <w:r>
        <w:rPr>
          <w:rFonts w:cs="Times New Roman" w:ascii="Times New Roman" w:hAnsi="Times New Roman"/>
        </w:rPr>
        <w:t xml:space="preserve"> avaliação dos projetos ambientais programados ou em implantação relacionados à conservação de Unidades de Conservação e outras áreas protegidas, estágio de implementação e respectivas fontes de recursos.</w:t>
      </w:r>
    </w:p>
    <w:p>
      <w:pPr>
        <w:pStyle w:val="Paragraph"/>
        <w:tabs>
          <w:tab w:val="left" w:pos="567" w:leader="none"/>
        </w:tabs>
        <w:spacing w:before="240" w:after="240"/>
        <w:ind w:left="720" w:hanging="720"/>
        <w:rPr/>
      </w:pPr>
      <w:r>
        <w:rPr>
          <w:b/>
          <w:szCs w:val="24"/>
          <w:lang w:val="pt-BR"/>
        </w:rPr>
        <w:t xml:space="preserve">5. </w:t>
        <w:tab/>
      </w:r>
      <w:r>
        <w:rPr>
          <w:b/>
          <w:szCs w:val="24"/>
          <w:u w:val="single"/>
          <w:lang w:val="pt-BR"/>
        </w:rPr>
        <w:t>Consolidação do Diagnóstico Estratégico</w:t>
      </w:r>
    </w:p>
    <w:p>
      <w:pPr>
        <w:pStyle w:val="Normal"/>
        <w:spacing w:before="120" w:after="120"/>
        <w:jc w:val="both"/>
        <w:rPr>
          <w:rFonts w:ascii="Times New Roman" w:hAnsi="Times New Roman" w:cs="Times New Roman"/>
        </w:rPr>
      </w:pPr>
      <w:r>
        <w:rPr>
          <w:rFonts w:cs="Times New Roman" w:ascii="Times New Roman" w:hAnsi="Times New Roman"/>
        </w:rPr>
        <w:t>A compilação de dados indicados nas seções anteriores deve permitir a consolidação analítica do diagnóstico, em termos estratégicos, da área turística selecionada e de sua área de influência. Este diagnóstico deve cobrir, pelo menos, os seguintes elementos:</w:t>
      </w:r>
    </w:p>
    <w:p>
      <w:pPr>
        <w:pStyle w:val="Paragraph"/>
        <w:numPr>
          <w:ilvl w:val="0"/>
          <w:numId w:val="15"/>
        </w:numPr>
        <w:rPr>
          <w:szCs w:val="24"/>
          <w:lang w:val="pt-BR"/>
        </w:rPr>
      </w:pPr>
      <w:r>
        <w:rPr>
          <w:szCs w:val="24"/>
          <w:lang w:val="pt-BR"/>
        </w:rPr>
        <w:t>Análise dos produtos atualmente consolidados na Área que são as mais rentáveis e as que ainda têm possibilidade de maior crescimento e que, portanto, é conveniente sustentar e reafirmar; (ii) as linhas de produtos ainda emergentes ou não exploradas que têm maior potencial ou possibilidade de crescimento na Área, nas quais se deve concentrar esforços;</w:t>
      </w:r>
    </w:p>
    <w:p>
      <w:pPr>
        <w:pStyle w:val="Normal"/>
        <w:numPr>
          <w:ilvl w:val="0"/>
          <w:numId w:val="15"/>
        </w:numPr>
        <w:suppressAutoHyphens w:val="false"/>
        <w:spacing w:before="120" w:after="120"/>
        <w:jc w:val="both"/>
        <w:textAlignment w:val="auto"/>
        <w:rPr/>
      </w:pPr>
      <w:r>
        <w:rPr>
          <w:rFonts w:cs="Times New Roman" w:ascii="Times New Roman" w:hAnsi="Times New Roman"/>
        </w:rPr>
        <w:t xml:space="preserve">Análise da importância dos atrativos ou recursos turísticos: O real valor do potencial turístico de uma área não é medido somente pelo número de atrativos que contém, mas sim, principalmente, pela qualidade dos mesmos. Assim, a hierarquização da importância das zonas turísticas depende tanto da quantidade como da qualidade dos atrativos nela incluídos. </w:t>
      </w:r>
    </w:p>
    <w:p>
      <w:pPr>
        <w:pStyle w:val="Normal"/>
        <w:spacing w:before="120" w:after="120"/>
        <w:ind w:left="708" w:hanging="0"/>
        <w:jc w:val="both"/>
        <w:rPr/>
      </w:pPr>
      <w:r>
        <w:rPr>
          <w:rFonts w:cs="Times New Roman" w:ascii="Times New Roman" w:hAnsi="Times New Roman"/>
        </w:rPr>
        <w:t>Embora</w:t>
      </w:r>
      <w:r>
        <w:rPr>
          <w:rFonts w:cs="Times New Roman" w:ascii="Times New Roman" w:hAnsi="Times New Roman"/>
          <w:color w:val="FF0000"/>
        </w:rPr>
        <w:t xml:space="preserve"> </w:t>
      </w:r>
      <w:r>
        <w:rPr>
          <w:rFonts w:cs="Times New Roman" w:ascii="Times New Roman" w:hAnsi="Times New Roman"/>
        </w:rPr>
        <w:t xml:space="preserve">haja múltiplas possibilidades de classificação e hierarquização dos recursos turísticos, há certo consenso sobre os três critérios principais que determinam sua qualidade: (i) as </w:t>
      </w:r>
      <w:r>
        <w:rPr>
          <w:rFonts w:cs="Times New Roman" w:ascii="Times New Roman" w:hAnsi="Times New Roman"/>
          <w:i/>
        </w:rPr>
        <w:t>preferências</w:t>
      </w:r>
      <w:r>
        <w:rPr>
          <w:rFonts w:cs="Times New Roman" w:ascii="Times New Roman" w:hAnsi="Times New Roman"/>
        </w:rPr>
        <w:t xml:space="preserve"> </w:t>
      </w:r>
      <w:r>
        <w:rPr>
          <w:rFonts w:cs="Times New Roman" w:ascii="Times New Roman" w:hAnsi="Times New Roman"/>
          <w:i/>
        </w:rPr>
        <w:t>dos usuários</w:t>
      </w:r>
      <w:r>
        <w:rPr>
          <w:rFonts w:cs="Times New Roman" w:ascii="Times New Roman" w:hAnsi="Times New Roman"/>
        </w:rPr>
        <w:t xml:space="preserve"> ou o grau de interesse que o recurso desperta na demanda (local, nacional ou internacional); (ii) a </w:t>
      </w:r>
      <w:r>
        <w:rPr>
          <w:rFonts w:cs="Times New Roman" w:ascii="Times New Roman" w:hAnsi="Times New Roman"/>
          <w:i/>
        </w:rPr>
        <w:t>singularidade</w:t>
      </w:r>
      <w:r>
        <w:rPr>
          <w:rFonts w:cs="Times New Roman" w:ascii="Times New Roman" w:hAnsi="Times New Roman"/>
        </w:rPr>
        <w:t xml:space="preserve"> do recurso (sua raridade ou originalidade); e (iii) sua </w:t>
      </w:r>
      <w:r>
        <w:rPr>
          <w:rFonts w:cs="Times New Roman" w:ascii="Times New Roman" w:hAnsi="Times New Roman"/>
          <w:i/>
        </w:rPr>
        <w:t>disponibilidade em tempo</w:t>
      </w:r>
      <w:r>
        <w:rPr>
          <w:rFonts w:cs="Times New Roman" w:ascii="Times New Roman" w:hAnsi="Times New Roman"/>
        </w:rPr>
        <w:t xml:space="preserve">, determinada, por exemplo, pelo grau de tempo favorável para o seu uso (no caso de uma praia, o número de dias por ano de condições meteorológicas adequadas). </w:t>
      </w:r>
    </w:p>
    <w:p>
      <w:pPr>
        <w:pStyle w:val="Normal"/>
        <w:spacing w:before="120" w:after="120"/>
        <w:ind w:left="708" w:hanging="0"/>
        <w:jc w:val="both"/>
        <w:rPr>
          <w:rFonts w:ascii="Times New Roman" w:hAnsi="Times New Roman" w:cs="Times New Roman"/>
        </w:rPr>
      </w:pPr>
      <w:r>
        <w:rPr>
          <w:rFonts w:cs="Times New Roman" w:ascii="Times New Roman" w:hAnsi="Times New Roman"/>
        </w:rPr>
        <w:t xml:space="preserve">A entidade responsável pela elaboração do Plano deve explicitar a metodologia usada para a classificação e a hierarquização dos atrativos na área selecionada, analisando os três critérios acima mencionados. As conclusões de tal análise devem ser claras e explícitas em relação ao grau de potencialidade turística da área, em função de tipos de turismo e mercados-meta. </w:t>
      </w:r>
    </w:p>
    <w:p>
      <w:pPr>
        <w:pStyle w:val="Paragraph"/>
        <w:numPr>
          <w:ilvl w:val="0"/>
          <w:numId w:val="15"/>
        </w:numPr>
        <w:rPr/>
      </w:pPr>
      <w:r>
        <w:rPr>
          <w:szCs w:val="24"/>
          <w:lang w:val="pt-BR"/>
        </w:rPr>
        <w:t>Identificação das áreas críticas de intervenção, em cada segmento, e dos atores locais que são necessários mobilizar</w:t>
      </w:r>
      <w:r>
        <w:rPr>
          <w:i/>
          <w:szCs w:val="24"/>
          <w:lang w:val="pt-BR"/>
        </w:rPr>
        <w:t>;</w:t>
      </w:r>
    </w:p>
    <w:p>
      <w:pPr>
        <w:pStyle w:val="Corpodetexto"/>
        <w:numPr>
          <w:ilvl w:val="0"/>
          <w:numId w:val="15"/>
        </w:numPr>
        <w:spacing w:lineRule="auto" w:line="240" w:before="120" w:after="120"/>
        <w:rPr/>
      </w:pPr>
      <w:r>
        <w:rPr>
          <w:rFonts w:ascii="Times New Roman" w:hAnsi="Times New Roman"/>
          <w:u w:val="single"/>
        </w:rPr>
        <w:t>Estruturação da Matriz SWOT</w:t>
      </w:r>
      <w:r>
        <w:rPr>
          <w:rFonts w:ascii="Times New Roman" w:hAnsi="Times New Roman"/>
          <w:lang w:eastAsia="en-US"/>
        </w:rPr>
        <w:t xml:space="preserve">. </w:t>
      </w:r>
      <w:r>
        <w:rPr>
          <w:rFonts w:ascii="Times New Roman" w:hAnsi="Times New Roman"/>
          <w:i w:val="false"/>
        </w:rPr>
        <w:t>Deverá ser apresentada uma avaliação das oportunidades e riscos cruzados com os pontos fortes e fracos dos aspectos/ temas relevantes para o turismo.  Neste sentido, recupera-se o diagnóstico realizado, para os aspectos/ temas relevantes para o turismo e caracterizados nas suas oportunidades, riscos, pontos fortes e fracos. É de fundamental importância incluir na matriz SWOT os aspectos ambientais e sócio-culturais. Isto permitirá incorporar a análise dos potenciais impactos e definir estratégias de desenvolvimento do turismo em base sustentável. A análise da matriz SWOT deverá ser feita em conformidade às suas características específicas, com ênfase no indicativo das tendências de desenvolvimento. O resultado dessa análise deverá nortear as Estratégias Turísticas, o Plano de Ação, e a priorização das ações, capitalizando as tendências desejáveis e garantindo as condições mínimas para tratamento de pontos críticos, quer seja de desenvolvimento, quer seja de sobrevivência.</w:t>
      </w:r>
    </w:p>
    <w:p>
      <w:pPr>
        <w:pStyle w:val="Ttulo1"/>
        <w:spacing w:before="240" w:after="240"/>
        <w:rPr/>
      </w:pPr>
      <w:r>
        <w:rPr>
          <w:rFonts w:cs="Times New Roman" w:ascii="Times New Roman" w:hAnsi="Times New Roman"/>
          <w:szCs w:val="24"/>
        </w:rPr>
        <w:t xml:space="preserve">Parte III - </w:t>
      </w:r>
      <w:r>
        <w:rPr>
          <w:rFonts w:cs="Times New Roman" w:ascii="Times New Roman" w:hAnsi="Times New Roman"/>
          <w:szCs w:val="24"/>
          <w:u w:val="single"/>
        </w:rPr>
        <w:t>Estratégias de Desenvolvimento Turístico</w:t>
      </w:r>
    </w:p>
    <w:p>
      <w:pPr>
        <w:pStyle w:val="Normal"/>
        <w:spacing w:before="120" w:after="120"/>
        <w:jc w:val="both"/>
        <w:rPr>
          <w:rFonts w:ascii="Times New Roman" w:hAnsi="Times New Roman" w:cs="Times New Roman"/>
        </w:rPr>
      </w:pPr>
      <w:r>
        <w:rPr>
          <w:rFonts w:cs="Times New Roman" w:ascii="Times New Roman" w:hAnsi="Times New Roman"/>
        </w:rPr>
        <w:t>As estratégias determinam as grandes linhas de ação necessárias para a consecução dos objetivos propostos. Em função do diagnóstico realizado e das áreas críticas de intervenção identificadas, as estratégias devem determinar as prioridades de desenvolvimento da atividade turística na Área, levando em conta, pelo menos, os seguintes âmbitos de atuação:</w:t>
      </w:r>
    </w:p>
    <w:p>
      <w:pPr>
        <w:pStyle w:val="Normal"/>
        <w:numPr>
          <w:ilvl w:val="0"/>
          <w:numId w:val="16"/>
        </w:numPr>
        <w:suppressAutoHyphens w:val="false"/>
        <w:spacing w:before="120" w:after="120"/>
        <w:ind w:left="780" w:hanging="420"/>
        <w:jc w:val="both"/>
        <w:textAlignment w:val="auto"/>
        <w:rPr>
          <w:rFonts w:ascii="Times New Roman" w:hAnsi="Times New Roman" w:cs="Times New Roman"/>
        </w:rPr>
      </w:pPr>
      <w:r>
        <w:rPr>
          <w:rFonts w:cs="Times New Roman" w:ascii="Times New Roman" w:hAnsi="Times New Roman"/>
        </w:rPr>
        <w:t>O posicionamento turístico desejável para a Área e as estratégias de comercialização necessárias para sua consolidação;</w:t>
      </w:r>
    </w:p>
    <w:p>
      <w:pPr>
        <w:pStyle w:val="Normal"/>
        <w:numPr>
          <w:ilvl w:val="0"/>
          <w:numId w:val="16"/>
        </w:numPr>
        <w:suppressAutoHyphens w:val="false"/>
        <w:spacing w:before="120" w:after="120"/>
        <w:ind w:left="780" w:hanging="420"/>
        <w:jc w:val="both"/>
        <w:textAlignment w:val="auto"/>
        <w:rPr/>
      </w:pPr>
      <w:r>
        <w:rPr>
          <w:rFonts w:cs="Times New Roman" w:ascii="Times New Roman" w:hAnsi="Times New Roman"/>
        </w:rPr>
        <w:t xml:space="preserve">A valorização e a exploração dos atrativos turísticos principais; os produtos e os tipos/segmentos turísticos nos quais é necessário concentrar esforços e a seleção do </w:t>
      </w:r>
      <w:r>
        <w:rPr>
          <w:rFonts w:cs="Times New Roman" w:ascii="Times New Roman" w:hAnsi="Times New Roman"/>
          <w:i/>
        </w:rPr>
        <w:t>portfólio</w:t>
      </w:r>
      <w:r>
        <w:rPr>
          <w:rFonts w:cs="Times New Roman" w:ascii="Times New Roman" w:hAnsi="Times New Roman"/>
        </w:rPr>
        <w:t xml:space="preserve"> estratégico de produtos-segmentos de demanda-meta,</w:t>
      </w:r>
    </w:p>
    <w:p>
      <w:pPr>
        <w:pStyle w:val="Normal"/>
        <w:numPr>
          <w:ilvl w:val="0"/>
          <w:numId w:val="16"/>
        </w:numPr>
        <w:suppressAutoHyphens w:val="false"/>
        <w:spacing w:before="120" w:after="120"/>
        <w:ind w:left="780" w:hanging="420"/>
        <w:jc w:val="both"/>
        <w:textAlignment w:val="auto"/>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As infraestruturas e os serviços básicos requeridos;</w:t>
      </w:r>
    </w:p>
    <w:p>
      <w:pPr>
        <w:pStyle w:val="Normal"/>
        <w:numPr>
          <w:ilvl w:val="0"/>
          <w:numId w:val="16"/>
        </w:numPr>
        <w:suppressAutoHyphens w:val="false"/>
        <w:spacing w:before="120" w:after="120"/>
        <w:ind w:left="780" w:hanging="420"/>
        <w:jc w:val="both"/>
        <w:textAlignment w:val="auto"/>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O quadro institucional requerido, com especial ênfase no apoio ao investimento turístico e ao fortalecimento da gestão pública de turismo e meio ambiente em nível local; e</w:t>
      </w:r>
    </w:p>
    <w:p>
      <w:pPr>
        <w:pStyle w:val="Normal"/>
        <w:numPr>
          <w:ilvl w:val="0"/>
          <w:numId w:val="16"/>
        </w:numPr>
        <w:suppressAutoHyphens w:val="false"/>
        <w:spacing w:before="120" w:after="120"/>
        <w:ind w:left="780" w:hanging="420"/>
        <w:jc w:val="both"/>
        <w:textAlignment w:val="auto"/>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As diretrizes socioambientais requeridas para preservar os ativos naturais e patrimoniais da Área Turística, durante o desenvolvimento da atividade turística. </w:t>
      </w:r>
    </w:p>
    <w:p>
      <w:pPr>
        <w:pStyle w:val="Normal"/>
        <w:suppressAutoHyphens w:val="false"/>
        <w:spacing w:before="120" w:after="120"/>
        <w:jc w:val="both"/>
        <w:textAlignment w:val="auto"/>
        <w:rPr>
          <w:rFonts w:ascii="Times New Roman" w:hAnsi="Times New Roman" w:cs="Times New Roman"/>
        </w:rPr>
      </w:pPr>
      <w:r>
        <w:rPr>
          <w:rFonts w:cs="Times New Roman" w:ascii="Times New Roman" w:hAnsi="Times New Roman"/>
        </w:rPr>
      </w:r>
    </w:p>
    <w:p>
      <w:pPr>
        <w:pStyle w:val="Normal"/>
        <w:suppressAutoHyphens w:val="false"/>
        <w:spacing w:before="120" w:after="120"/>
        <w:jc w:val="both"/>
        <w:textAlignment w:val="auto"/>
        <w:rPr>
          <w:rFonts w:ascii="Times New Roman" w:hAnsi="Times New Roman" w:cs="Times New Roman"/>
        </w:rPr>
      </w:pPr>
      <w:r>
        <w:rPr>
          <w:rFonts w:cs="Times New Roman" w:ascii="Times New Roman" w:hAnsi="Times New Roman"/>
        </w:rPr>
      </w:r>
    </w:p>
    <w:p>
      <w:pPr>
        <w:pStyle w:val="Ttulo1"/>
        <w:spacing w:before="240" w:after="240"/>
        <w:rPr>
          <w:rFonts w:ascii="Times New Roman" w:hAnsi="Times New Roman" w:cs="Times New Roman"/>
          <w:szCs w:val="24"/>
        </w:rPr>
      </w:pPr>
      <w:r>
        <w:rPr>
          <w:rFonts w:cs="Times New Roman" w:ascii="Times New Roman" w:hAnsi="Times New Roman"/>
          <w:szCs w:val="24"/>
        </w:rPr>
        <w:t xml:space="preserve">Parte IV- Plano de Ação: Seleção de Procedimentos, Ações e Projetos.  </w:t>
      </w:r>
    </w:p>
    <w:p>
      <w:pPr>
        <w:pStyle w:val="Normal"/>
        <w:spacing w:before="240" w:after="240"/>
        <w:jc w:val="both"/>
        <w:rPr>
          <w:rFonts w:ascii="Times New Roman" w:hAnsi="Times New Roman" w:cs="Times New Roman"/>
          <w:b/>
          <w:b/>
          <w:bCs/>
        </w:rPr>
      </w:pPr>
      <w:r>
        <w:rPr>
          <w:rFonts w:cs="Times New Roman" w:ascii="Times New Roman" w:hAnsi="Times New Roman"/>
          <w:b/>
          <w:bCs/>
        </w:rPr>
        <w:t>1.</w:t>
        <w:tab/>
        <w:t xml:space="preserve">Visão Geral e Ações Previstas </w:t>
      </w:r>
    </w:p>
    <w:p>
      <w:pPr>
        <w:pStyle w:val="Normal"/>
        <w:spacing w:before="120" w:after="120"/>
        <w:jc w:val="both"/>
        <w:rPr>
          <w:rFonts w:ascii="Times New Roman" w:hAnsi="Times New Roman" w:cs="Times New Roman"/>
        </w:rPr>
      </w:pPr>
      <w:r>
        <w:rPr>
          <w:rFonts w:cs="Times New Roman" w:ascii="Times New Roman" w:hAnsi="Times New Roman"/>
        </w:rPr>
        <w:t xml:space="preserve">O Plano de Ação deve apresentar uma visão geral do conjunto de atividades e projetos de investimento a serem realizados para o alcance dos objetivos de desenvolvimento do turismo sustentável, independentemente da fonte de financiamento a ser mobilizada e das entidades por eles responsáveis. Deve estabelecer a relação de cada ação com as estratégias, vinculando-as aos objetivos, tais como, o aumento do emprego e da renda proveniente dos turistas, o aumento dos benefícios para a população envolvida etc. </w:t>
      </w:r>
    </w:p>
    <w:p>
      <w:pPr>
        <w:pStyle w:val="BodyTextIndent2"/>
        <w:spacing w:lineRule="auto" w:line="240" w:before="120" w:after="120"/>
        <w:ind w:left="0" w:hanging="0"/>
        <w:jc w:val="both"/>
        <w:rPr/>
      </w:pPr>
      <w:r>
        <w:rPr/>
        <w:t>As ações propostas devem ser agrupadas por eixo de atuação do Programa de Regionalização do Turismo, preparando-se uma descrição do seu conjunto, com as seguintes indicações:</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Ação proposta;</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Descrição da ação;</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Objetivo;</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Justificativa;</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Benefícios e beneficiários;</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Normas de licenciamento ambiental exigidas por lei;</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Custo Estimado;</w:t>
      </w:r>
    </w:p>
    <w:p>
      <w:pPr>
        <w:pStyle w:val="Normal"/>
        <w:numPr>
          <w:ilvl w:val="1"/>
          <w:numId w:val="8"/>
        </w:numPr>
        <w:tabs>
          <w:tab w:val="left" w:pos="1440" w:leader="none"/>
          <w:tab w:val="left" w:pos="1560" w:leader="none"/>
        </w:tabs>
        <w:suppressAutoHyphens w:val="false"/>
        <w:ind w:left="1434" w:hanging="357"/>
        <w:jc w:val="both"/>
        <w:textAlignment w:val="auto"/>
        <w:rPr>
          <w:rFonts w:ascii="Times New Roman" w:hAnsi="Times New Roman" w:cs="Times New Roman"/>
        </w:rPr>
      </w:pPr>
      <w:r>
        <w:rPr>
          <w:rFonts w:cs="Times New Roman" w:ascii="Times New Roman" w:hAnsi="Times New Roman"/>
        </w:rPr>
        <w:t>Produtos e Resultados.</w:t>
      </w:r>
    </w:p>
    <w:p>
      <w:pPr>
        <w:pStyle w:val="Ttulo1"/>
        <w:spacing w:before="240" w:after="240"/>
        <w:jc w:val="both"/>
        <w:rPr/>
      </w:pPr>
      <w:r>
        <w:rPr>
          <w:rFonts w:cs="Times New Roman" w:ascii="Times New Roman" w:hAnsi="Times New Roman"/>
          <w:szCs w:val="24"/>
        </w:rPr>
        <w:t>2.</w:t>
        <w:tab/>
      </w:r>
      <w:r>
        <w:rPr>
          <w:rFonts w:cs="Times New Roman" w:ascii="Times New Roman" w:hAnsi="Times New Roman"/>
          <w:bCs/>
          <w:szCs w:val="24"/>
        </w:rPr>
        <w:t>Dimensionamento do Investimento Total</w:t>
      </w:r>
    </w:p>
    <w:p>
      <w:pPr>
        <w:pStyle w:val="Normal"/>
        <w:tabs>
          <w:tab w:val="left" w:pos="720" w:leader="none"/>
        </w:tabs>
        <w:spacing w:before="120" w:after="120"/>
        <w:jc w:val="both"/>
        <w:rPr>
          <w:rFonts w:ascii="Times New Roman" w:hAnsi="Times New Roman" w:cs="Times New Roman"/>
        </w:rPr>
      </w:pPr>
      <w:r>
        <w:rPr>
          <w:rFonts w:cs="Times New Roman" w:ascii="Times New Roman" w:hAnsi="Times New Roman"/>
        </w:rPr>
        <w:t>Após a identificação das ações por eixo de atuação e por município, e o correspondente dimensionamento dos investimentos, deverá ser estruturado um quadro que indique os investimentos totais a serem realizados.</w:t>
      </w:r>
    </w:p>
    <w:p>
      <w:pPr>
        <w:pStyle w:val="Normal"/>
        <w:spacing w:before="240" w:after="240"/>
        <w:jc w:val="both"/>
        <w:rPr>
          <w:rFonts w:ascii="Times New Roman" w:hAnsi="Times New Roman" w:cs="Times New Roman"/>
          <w:b/>
          <w:b/>
          <w:bCs/>
        </w:rPr>
      </w:pPr>
      <w:r>
        <w:rPr>
          <w:rFonts w:cs="Times New Roman" w:ascii="Times New Roman" w:hAnsi="Times New Roman"/>
          <w:b/>
          <w:bCs/>
        </w:rPr>
        <w:t>3.</w:t>
        <w:tab/>
        <w:t>Avaliação dos Impactos Potenciais da implementação das ações.</w:t>
      </w:r>
    </w:p>
    <w:p>
      <w:pPr>
        <w:pStyle w:val="Normal"/>
        <w:numPr>
          <w:ilvl w:val="0"/>
          <w:numId w:val="17"/>
        </w:numPr>
        <w:suppressAutoHyphens w:val="false"/>
        <w:spacing w:before="120" w:after="120"/>
        <w:ind w:left="1429" w:hanging="720"/>
        <w:jc w:val="both"/>
        <w:textAlignment w:val="auto"/>
        <w:rPr>
          <w:rFonts w:ascii="Times New Roman" w:hAnsi="Times New Roman" w:cs="Times New Roman"/>
        </w:rPr>
      </w:pPr>
      <w:r>
        <w:rPr>
          <w:rFonts w:cs="Times New Roman" w:ascii="Times New Roman" w:hAnsi="Times New Roman"/>
        </w:rPr>
        <w:t>Para cada ação deverá ser apresentada uma classificação preliminar dos impactos esperados, positivos e negativos (somente os impactos significativos), conforme modelo exemplificativo abaixo;</w:t>
      </w:r>
    </w:p>
    <w:p>
      <w:pPr>
        <w:pStyle w:val="Normal"/>
        <w:numPr>
          <w:ilvl w:val="0"/>
          <w:numId w:val="17"/>
        </w:numPr>
        <w:suppressAutoHyphens w:val="false"/>
        <w:spacing w:before="120" w:after="120"/>
        <w:ind w:left="1429" w:hanging="720"/>
        <w:jc w:val="both"/>
        <w:textAlignment w:val="auto"/>
        <w:rPr>
          <w:rFonts w:ascii="Times New Roman" w:hAnsi="Times New Roman" w:cs="Times New Roman"/>
        </w:rPr>
      </w:pPr>
      <w:r>
        <w:rPr>
          <w:rFonts w:cs="Times New Roman" w:ascii="Times New Roman" w:hAnsi="Times New Roman"/>
        </w:rPr>
        <w:t>Seleção de alguns parâmetros a serem usados como indicadores dos impactos e efeitos avaliados nos itens anteriores e, a partir deles, definição das ações de acompanhamento e monitoramento dos impactos na implementação das ações.</w: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240" w:after="240"/>
        <w:rPr>
          <w:rFonts w:ascii="Times New Roman" w:hAnsi="Times New Roman" w:cs="Times New Roman"/>
          <w:b/>
          <w:b/>
          <w:caps/>
          <w:u w:val="single"/>
        </w:rPr>
      </w:pPr>
      <w:r>
        <w:rPr>
          <w:rFonts w:cs="Times New Roman" w:ascii="Times New Roman" w:hAnsi="Times New Roman"/>
          <w:b/>
          <w:caps/>
          <w:u w:val="single"/>
        </w:rPr>
        <w:t>QUADRO 1 : EXEMPLO DE MATRIZ DE IMPACTOS POTENCIAIS</w:t>
      </w:r>
    </w:p>
    <w:p>
      <w:pPr>
        <w:pStyle w:val="Normal"/>
        <w:spacing w:before="240" w:after="240"/>
        <w:ind w:left="709" w:hanging="0"/>
        <w:jc w:val="center"/>
        <w:rPr/>
      </w:pPr>
      <w:r>
        <w:rPr>
          <w:rFonts w:cs="Times New Roman" w:ascii="Times New Roman" w:hAnsi="Times New Roman"/>
          <w:b/>
          <w:bCs/>
        </w:rPr>
        <w:t>Avaliação dos Impactos Potenciais da implementação das ações</w:t>
      </w:r>
    </w:p>
    <w:tbl>
      <w:tblPr>
        <w:tblW w:w="10111" w:type="dxa"/>
        <w:jc w:val="center"/>
        <w:tblInd w:w="0" w:type="dxa"/>
        <w:tblBorders>
          <w:bottom w:val="single" w:sz="4" w:space="0" w:color="00000A"/>
          <w:right w:val="single" w:sz="4" w:space="0" w:color="00000A"/>
          <w:insideH w:val="single" w:sz="4" w:space="0" w:color="00000A"/>
          <w:insideV w:val="single" w:sz="4" w:space="0" w:color="00000A"/>
        </w:tblBorders>
        <w:tblCellMar>
          <w:top w:w="0" w:type="dxa"/>
          <w:left w:w="113" w:type="dxa"/>
          <w:bottom w:w="0" w:type="dxa"/>
          <w:right w:w="108" w:type="dxa"/>
        </w:tblCellMar>
        <w:tblLook w:firstRow="0" w:noVBand="0" w:lastRow="0" w:firstColumn="0" w:lastColumn="0" w:noHBand="0" w:val="0000"/>
      </w:tblPr>
      <w:tblGrid>
        <w:gridCol w:w="963"/>
        <w:gridCol w:w="1097"/>
        <w:gridCol w:w="1190"/>
        <w:gridCol w:w="1097"/>
        <w:gridCol w:w="1190"/>
        <w:gridCol w:w="1097"/>
        <w:gridCol w:w="1190"/>
        <w:gridCol w:w="1097"/>
        <w:gridCol w:w="1189"/>
      </w:tblGrid>
      <w:tr>
        <w:trPr/>
        <w:tc>
          <w:tcPr>
            <w:tcW w:w="963"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before="120" w:after="120"/>
              <w:jc w:val="both"/>
              <w:rPr>
                <w:rFonts w:ascii="Times New Roman" w:hAnsi="Times New Roman" w:cs="Times New Roman"/>
              </w:rPr>
            </w:pPr>
            <w:r>
              <w:rPr>
                <w:rFonts w:cs="Times New Roman" w:ascii="Times New Roman" w:hAnsi="Times New Roman"/>
              </w:rPr>
            </w:r>
          </w:p>
        </w:tc>
        <w:tc>
          <w:tcPr>
            <w:tcW w:w="9147"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IMPACTOS POTENCIAIS*</w:t>
            </w:r>
          </w:p>
        </w:tc>
      </w:tr>
      <w:tr>
        <w:trPr/>
        <w:tc>
          <w:tcPr>
            <w:tcW w:w="96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Ação**</w:t>
            </w:r>
          </w:p>
        </w:tc>
        <w:tc>
          <w:tcPr>
            <w:tcW w:w="22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AMBIENTAIS</w:t>
            </w:r>
          </w:p>
        </w:tc>
        <w:tc>
          <w:tcPr>
            <w:tcW w:w="22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SOCIAIS</w:t>
            </w:r>
          </w:p>
        </w:tc>
        <w:tc>
          <w:tcPr>
            <w:tcW w:w="22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ECONÔMICOS</w:t>
            </w:r>
          </w:p>
        </w:tc>
        <w:tc>
          <w:tcPr>
            <w:tcW w:w="22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CULTURAIS</w:t>
            </w:r>
          </w:p>
        </w:tc>
      </w:tr>
      <w:tr>
        <w:trPr/>
        <w:tc>
          <w:tcPr>
            <w:tcW w:w="96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 xml:space="preserve">Positivos        </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Negativos</w:t>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Positivos</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Negativos</w:t>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Positivos</w: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Negativos</w:t>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Positivos</w:t>
            </w:r>
          </w:p>
        </w:tc>
        <w:tc>
          <w:tcPr>
            <w:tcW w:w="11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center"/>
              <w:rPr>
                <w:rFonts w:ascii="Times New Roman" w:hAnsi="Times New Roman" w:cs="Times New Roman"/>
              </w:rPr>
            </w:pPr>
            <w:r>
              <w:rPr>
                <w:rFonts w:cs="Times New Roman" w:ascii="Times New Roman" w:hAnsi="Times New Roman"/>
              </w:rPr>
              <w:t>Negativos</w:t>
            </w:r>
          </w:p>
        </w:tc>
      </w:tr>
      <w:tr>
        <w:trPr>
          <w:trHeight w:val="840" w:hRule="atLeast"/>
        </w:trPr>
        <w:tc>
          <w:tcPr>
            <w:tcW w:w="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r>
      <w:tr>
        <w:trPr/>
        <w:tc>
          <w:tcPr>
            <w:tcW w:w="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pPr>
            <w:r>
              <w:rPr/>
              <mc:AlternateContent>
                <mc:Choice Requires="wps">
                  <w:drawing>
                    <wp:anchor behindDoc="0" distT="0" distB="2" distL="114300" distR="114300" simplePos="0" locked="0" layoutInCell="1" allowOverlap="1" relativeHeight="2">
                      <wp:simplePos x="0" y="0"/>
                      <wp:positionH relativeFrom="column">
                        <wp:posOffset>-53975</wp:posOffset>
                      </wp:positionH>
                      <wp:positionV relativeFrom="paragraph">
                        <wp:posOffset>12065</wp:posOffset>
                      </wp:positionV>
                      <wp:extent cx="5721985" cy="323850"/>
                      <wp:effectExtent l="0" t="0" r="0" b="1268"/>
                      <wp:wrapNone/>
                      <wp:docPr id="17" name="Retângulo 9"/>
                      <a:graphic xmlns:a="http://schemas.openxmlformats.org/drawingml/2006/main">
                        <a:graphicData uri="http://schemas.microsoft.com/office/word/2010/wordprocessingShape">
                          <wps:wsp>
                            <wps:cNvSpPr/>
                            <wps:spPr>
                              <a:xfrm>
                                <a:off x="0" y="0"/>
                                <a:ext cx="5721480" cy="323280"/>
                              </a:xfrm>
                              <a:prstGeom prst="rect">
                                <a:avLst/>
                              </a:prstGeom>
                              <a:solidFill>
                                <a:srgbClr val="ffffff"/>
                              </a:solidFill>
                              <a:ln>
                                <a:noFill/>
                              </a:ln>
                            </wps:spPr>
                            <wps:style>
                              <a:lnRef idx="0"/>
                              <a:fillRef idx="0"/>
                              <a:effectRef idx="0"/>
                              <a:fontRef idx="minor"/>
                            </wps:style>
                            <wps:txbx>
                              <w:txbxContent>
                                <w:p>
                                  <w:pPr>
                                    <w:pStyle w:val="Contedodoquadro"/>
                                    <w:jc w:val="center"/>
                                    <w:rPr/>
                                  </w:pPr>
                                  <w:r>
                                    <w:rPr>
                                      <w:color w:val="C0C0C0"/>
                                      <w:sz w:val="26"/>
                                      <w:szCs w:val="26"/>
                                    </w:rPr>
                                    <w:t>DESCRIÇÃO SUCINTA DOS IMPACTOS ESPERADOS PARA CADA AÇÃO</w:t>
                                  </w:r>
                                </w:p>
                              </w:txbxContent>
                            </wps:txbx>
                            <wps:bodyPr>
                              <a:noAutofit/>
                            </wps:bodyPr>
                          </wps:wsp>
                        </a:graphicData>
                      </a:graphic>
                    </wp:anchor>
                  </w:drawing>
                </mc:Choice>
                <mc:Fallback>
                  <w:pict>
                    <v:rect id="shape_0" ID="Retângulo 9" fillcolor="white" stroked="f" style="position:absolute;margin-left:-4.25pt;margin-top:0.95pt;width:450.45pt;height:25.4pt">
                      <w10:wrap type="square"/>
                      <v:fill o:detectmouseclick="t" type="solid" color2="black"/>
                      <v:stroke color="#3465a4" joinstyle="round" endcap="flat"/>
                      <v:textbox>
                        <w:txbxContent>
                          <w:p>
                            <w:pPr>
                              <w:pStyle w:val="Contedodoquadro"/>
                              <w:jc w:val="center"/>
                              <w:rPr/>
                            </w:pPr>
                            <w:r>
                              <w:rPr>
                                <w:color w:val="C0C0C0"/>
                                <w:sz w:val="26"/>
                                <w:szCs w:val="26"/>
                              </w:rPr>
                              <w:t>DESCRIÇÃO SUCINTA DOS IMPACTOS ESPERADOS PARA CADA AÇÃO</w:t>
                            </w:r>
                          </w:p>
                        </w:txbxContent>
                      </v:textbox>
                    </v:rect>
                  </w:pict>
                </mc:Fallback>
              </mc:AlternateContent>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c>
          <w:tcPr>
            <w:tcW w:w="11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120" w:after="120"/>
              <w:jc w:val="both"/>
              <w:rPr>
                <w:rFonts w:ascii="Times New Roman" w:hAnsi="Times New Roman" w:cs="Times New Roman"/>
              </w:rPr>
            </w:pPr>
            <w:r>
              <w:rPr>
                <w:rFonts w:cs="Times New Roman" w:ascii="Times New Roman" w:hAnsi="Times New Roman"/>
              </w:rPr>
            </w:r>
          </w:p>
        </w:tc>
      </w:tr>
    </w:tbl>
    <w:p>
      <w:pPr>
        <w:pStyle w:val="Normal"/>
        <w:spacing w:before="120" w:after="120"/>
        <w:jc w:val="both"/>
        <w:rPr>
          <w:rFonts w:ascii="Times New Roman" w:hAnsi="Times New Roman" w:cs="Times New Roman"/>
          <w:b/>
          <w:b/>
        </w:rPr>
      </w:pPr>
      <w:r>
        <w:rPr>
          <w:rFonts w:cs="Times New Roman" w:ascii="Times New Roman" w:hAnsi="Times New Roman"/>
          <w:b/>
        </w:rPr>
      </w:r>
    </w:p>
    <w:p>
      <w:pPr>
        <w:pStyle w:val="Normal"/>
        <w:spacing w:before="240" w:after="240"/>
        <w:jc w:val="both"/>
        <w:rPr>
          <w:rFonts w:ascii="Times New Roman" w:hAnsi="Times New Roman" w:cs="Times New Roman"/>
          <w:b/>
          <w:b/>
        </w:rPr>
      </w:pPr>
      <w:r>
        <w:rPr>
          <w:rFonts w:cs="Times New Roman" w:ascii="Times New Roman" w:hAnsi="Times New Roman"/>
          <w:b/>
        </w:rPr>
        <w:t xml:space="preserve">7. PRODUTOS E PRAZOS </w:t>
      </w:r>
    </w:p>
    <w:p>
      <w:pPr>
        <w:pStyle w:val="Normal"/>
        <w:numPr>
          <w:ilvl w:val="0"/>
          <w:numId w:val="0"/>
        </w:numPr>
        <w:spacing w:before="120" w:after="120"/>
        <w:jc w:val="both"/>
        <w:outlineLvl w:val="0"/>
        <w:rPr>
          <w:bCs/>
        </w:rPr>
      </w:pPr>
      <w:r>
        <w:rPr>
          <w:bCs/>
        </w:rPr>
        <w:t>A duração dos trabalhos de elaboração do Plano não deve exceder a 240 (duzentos e quarenta) dias, contados a partir da data de assinatura do contrato de prestação de serviços de consultoria. Os produtos intermediários, as formas e os percentuais de pagamento e os respectivos prazos de entrega estão discriminados no Quadro1: Cronograma Físico-financeiro. O produto final corresponderá ao Plano de Desenvolvimento Territorial do Turismo da Área do município de Nova Trento - SC, sob a forma de relatório completo, conciso e tecnicamente embasado, em linguagem que permita leitura ágil e fácil identificação da linha argumentativa que foi seguida.</w:t>
      </w:r>
    </w:p>
    <w:p>
      <w:pPr>
        <w:pStyle w:val="Normal"/>
        <w:widowControl w:val="false"/>
        <w:spacing w:before="240" w:after="240"/>
        <w:rPr>
          <w:rFonts w:ascii="Times New Roman" w:hAnsi="Times New Roman" w:cs="Times New Roman"/>
          <w:b/>
          <w:b/>
          <w:bCs/>
          <w:caps/>
          <w:u w:val="single"/>
        </w:rPr>
      </w:pPr>
      <w:r>
        <w:rPr>
          <w:rFonts w:cs="Times New Roman" w:ascii="Times New Roman" w:hAnsi="Times New Roman"/>
          <w:b/>
          <w:bCs/>
          <w:caps/>
          <w:u w:val="single"/>
        </w:rPr>
        <w:t>QUADRO 1: Cronograma Físico-financeiro</w:t>
      </w:r>
    </w:p>
    <w:tbl>
      <w:tblPr>
        <w:tblW w:w="9464" w:type="dxa"/>
        <w:jc w:val="left"/>
        <w:tblInd w:w="-2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83" w:type="dxa"/>
          <w:bottom w:w="0" w:type="dxa"/>
          <w:right w:w="108" w:type="dxa"/>
        </w:tblCellMar>
        <w:tblLook w:firstRow="0" w:noVBand="0" w:lastRow="0" w:firstColumn="0" w:lastColumn="0" w:noHBand="0" w:val="0000"/>
      </w:tblPr>
      <w:tblGrid>
        <w:gridCol w:w="1666"/>
        <w:gridCol w:w="4252"/>
        <w:gridCol w:w="1845"/>
        <w:gridCol w:w="1700"/>
      </w:tblGrid>
      <w:tr>
        <w:trPr>
          <w:trHeight w:val="477"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Next/>
              <w:keepLines/>
              <w:widowControl w:val="false"/>
              <w:spacing w:before="120" w:after="120"/>
              <w:jc w:val="center"/>
              <w:rPr>
                <w:b/>
                <w:b/>
                <w:bCs/>
              </w:rPr>
            </w:pPr>
            <w:r>
              <w:rPr>
                <w:b/>
                <w:bCs/>
              </w:rPr>
              <w:t>Produtos</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Next/>
              <w:keepLines/>
              <w:widowControl w:val="false"/>
              <w:spacing w:before="120" w:after="120"/>
              <w:jc w:val="center"/>
              <w:rPr>
                <w:b/>
                <w:b/>
                <w:bCs/>
              </w:rPr>
            </w:pPr>
            <w:r>
              <w:rPr>
                <w:b/>
                <w:bCs/>
              </w:rPr>
              <w:t>Descrição</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Next/>
              <w:keepLines/>
              <w:widowControl w:val="false"/>
              <w:spacing w:before="120" w:after="120"/>
              <w:jc w:val="center"/>
              <w:rPr>
                <w:b/>
                <w:b/>
                <w:bCs/>
              </w:rPr>
            </w:pPr>
            <w:r>
              <w:rPr>
                <w:b/>
                <w:bCs/>
              </w:rPr>
              <w:t>Prazo</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Next/>
              <w:widowControl w:val="false"/>
              <w:spacing w:before="120" w:after="120"/>
              <w:jc w:val="center"/>
              <w:rPr>
                <w:b/>
                <w:b/>
                <w:bCs/>
              </w:rPr>
            </w:pPr>
            <w:r>
              <w:rPr>
                <w:b/>
                <w:bCs/>
              </w:rPr>
              <w:t>Desembolso</w:t>
            </w:r>
          </w:p>
        </w:tc>
      </w:tr>
      <w:tr>
        <w:trPr>
          <w:trHeight w:val="1198"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Produto 1</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rPr/>
            </w:pPr>
            <w:r>
              <w:rPr/>
              <w:t>a. Plano de Trabalho: Planejamento e cronograma dos Trabalhos;</w:t>
            </w:r>
          </w:p>
          <w:p>
            <w:pPr>
              <w:pStyle w:val="Normal"/>
              <w:keepLines/>
              <w:rPr/>
            </w:pPr>
            <w:r>
              <w:rPr/>
              <w:t xml:space="preserve">b. Relatório contando os resultados das atividades descritas no item </w:t>
            </w:r>
            <w:r>
              <w:rPr>
                <w:b/>
              </w:rPr>
              <w:t>Parte I – Formulação dos Objetivos do Plano</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jc w:val="center"/>
              <w:rPr/>
            </w:pPr>
            <w:r>
              <w:rPr/>
            </w:r>
          </w:p>
          <w:p>
            <w:pPr>
              <w:pStyle w:val="Normal"/>
              <w:keepLines/>
              <w:widowControl w:val="false"/>
              <w:spacing w:before="120" w:after="120"/>
              <w:jc w:val="center"/>
              <w:rPr/>
            </w:pPr>
            <w:r>
              <w:rPr/>
              <w:t xml:space="preserve">30 dias </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jc w:val="center"/>
              <w:rPr/>
            </w:pPr>
            <w:r>
              <w:rPr/>
            </w:r>
          </w:p>
          <w:p>
            <w:pPr>
              <w:pStyle w:val="Normal"/>
              <w:widowControl w:val="false"/>
              <w:spacing w:before="120" w:after="120"/>
              <w:jc w:val="center"/>
              <w:rPr/>
            </w:pPr>
            <w:r>
              <w:rPr/>
              <w:t>10%</w:t>
            </w:r>
          </w:p>
        </w:tc>
      </w:tr>
      <w:tr>
        <w:trPr>
          <w:trHeight w:val="810"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Produto 2</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rPr>
                <w:b/>
                <w:b/>
              </w:rPr>
            </w:pPr>
            <w:r>
              <w:rPr/>
              <w:t xml:space="preserve">Relatório contendo os resultados das atividades descritas no item </w:t>
            </w:r>
            <w:r>
              <w:rPr>
                <w:b/>
              </w:rPr>
              <w:t>Parte II – Diagnóstico Estratégico da área e das Atividades Turísticas.</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jc w:val="center"/>
              <w:rPr/>
            </w:pPr>
            <w:r>
              <w:rPr/>
            </w:r>
          </w:p>
          <w:p>
            <w:pPr>
              <w:pStyle w:val="Normal"/>
              <w:keepLines/>
              <w:widowControl w:val="false"/>
              <w:spacing w:before="120" w:after="120"/>
              <w:jc w:val="center"/>
              <w:rPr/>
            </w:pPr>
            <w:r>
              <w:rPr/>
              <w:t xml:space="preserve">60 dias </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jc w:val="center"/>
              <w:rPr/>
            </w:pPr>
            <w:r>
              <w:rPr/>
            </w:r>
          </w:p>
          <w:p>
            <w:pPr>
              <w:pStyle w:val="Normal"/>
              <w:widowControl w:val="false"/>
              <w:spacing w:before="120" w:after="120"/>
              <w:jc w:val="center"/>
              <w:rPr/>
            </w:pPr>
            <w:r>
              <w:rPr/>
              <w:t>20%</w:t>
            </w:r>
          </w:p>
        </w:tc>
      </w:tr>
      <w:tr>
        <w:trPr>
          <w:trHeight w:val="797"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Produto 3</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ind w:firstLine="7"/>
              <w:rPr>
                <w:b/>
                <w:b/>
              </w:rPr>
            </w:pPr>
            <w:r>
              <w:rPr/>
              <w:t>Relatório contendo os resultados das atividades descritas na</w:t>
            </w:r>
            <w:r>
              <w:rPr>
                <w:b/>
              </w:rPr>
              <w:t xml:space="preserve"> Parte III</w:t>
            </w:r>
            <w:r>
              <w:rPr/>
              <w:t xml:space="preserve"> – Estratégias de Desenvolvimento Turístico.</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jc w:val="center"/>
              <w:rPr/>
            </w:pPr>
            <w:r>
              <w:rPr/>
            </w:r>
          </w:p>
          <w:p>
            <w:pPr>
              <w:pStyle w:val="Normal"/>
              <w:keepLines/>
              <w:widowControl w:val="false"/>
              <w:spacing w:before="120" w:after="120"/>
              <w:jc w:val="center"/>
              <w:rPr/>
            </w:pPr>
            <w:r>
              <w:rPr/>
              <w:t>30 dias</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jc w:val="center"/>
              <w:rPr/>
            </w:pPr>
            <w:r>
              <w:rPr/>
            </w:r>
          </w:p>
          <w:p>
            <w:pPr>
              <w:pStyle w:val="Normal"/>
              <w:widowControl w:val="false"/>
              <w:spacing w:before="120" w:after="120"/>
              <w:jc w:val="center"/>
              <w:rPr/>
            </w:pPr>
            <w:r>
              <w:rPr/>
              <w:t>10%</w:t>
            </w:r>
          </w:p>
        </w:tc>
      </w:tr>
      <w:tr>
        <w:trPr>
          <w:trHeight w:val="965"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 xml:space="preserve">Produto 4 </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rPr>
                <w:b/>
                <w:b/>
              </w:rPr>
            </w:pPr>
            <w:r>
              <w:rPr/>
              <w:t xml:space="preserve">Relatório contendo os resultados das atividades descritas no item </w:t>
            </w:r>
            <w:r>
              <w:rPr>
                <w:b/>
              </w:rPr>
              <w:t xml:space="preserve">Parte IV – Plano de Ação. </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firstLine="7"/>
              <w:jc w:val="center"/>
              <w:rPr/>
            </w:pPr>
            <w:r>
              <w:rPr/>
            </w:r>
          </w:p>
          <w:p>
            <w:pPr>
              <w:pStyle w:val="Normal"/>
              <w:keepLines/>
              <w:widowControl w:val="false"/>
              <w:spacing w:before="120" w:after="120"/>
              <w:ind w:firstLine="7"/>
              <w:jc w:val="center"/>
              <w:rPr/>
            </w:pPr>
            <w:r>
              <w:rPr/>
              <w:t>30 dias</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ind w:firstLine="7"/>
              <w:jc w:val="center"/>
              <w:rPr/>
            </w:pPr>
            <w:r>
              <w:rPr/>
            </w:r>
          </w:p>
          <w:p>
            <w:pPr>
              <w:pStyle w:val="Normal"/>
              <w:widowControl w:val="false"/>
              <w:spacing w:before="120" w:after="120"/>
              <w:ind w:firstLine="7"/>
              <w:jc w:val="center"/>
              <w:rPr/>
            </w:pPr>
            <w:r>
              <w:rPr/>
              <w:t>20%</w:t>
            </w:r>
          </w:p>
        </w:tc>
      </w:tr>
      <w:tr>
        <w:trPr>
          <w:trHeight w:val="633"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Produto 5</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rPr/>
            </w:pPr>
            <w:r>
              <w:rPr>
                <w:b/>
              </w:rPr>
              <w:t xml:space="preserve">Versão preliminar do Plano, </w:t>
            </w:r>
            <w:r>
              <w:rPr/>
              <w:t>contendo a consolidação dos relatórios anteriores.</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firstLine="7"/>
              <w:jc w:val="center"/>
              <w:rPr/>
            </w:pPr>
            <w:r>
              <w:rPr/>
            </w:r>
          </w:p>
          <w:p>
            <w:pPr>
              <w:pStyle w:val="Normal"/>
              <w:keepLines/>
              <w:widowControl w:val="false"/>
              <w:spacing w:before="120" w:after="120"/>
              <w:ind w:firstLine="7"/>
              <w:jc w:val="center"/>
              <w:rPr/>
            </w:pPr>
            <w:r>
              <w:rPr/>
              <w:t>60 dias</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ind w:firstLine="7"/>
              <w:jc w:val="center"/>
              <w:rPr/>
            </w:pPr>
            <w:r>
              <w:rPr/>
            </w:r>
          </w:p>
          <w:p>
            <w:pPr>
              <w:pStyle w:val="Normal"/>
              <w:widowControl w:val="false"/>
              <w:spacing w:before="120" w:after="120"/>
              <w:ind w:firstLine="7"/>
              <w:jc w:val="center"/>
              <w:rPr/>
            </w:pPr>
            <w:r>
              <w:rPr/>
              <w:t>20%</w:t>
            </w:r>
          </w:p>
        </w:tc>
      </w:tr>
      <w:tr>
        <w:trPr>
          <w:trHeight w:val="965" w:hRule="atLeast"/>
        </w:trPr>
        <w:tc>
          <w:tcPr>
            <w:tcW w:w="16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left="-633" w:firstLine="579"/>
              <w:jc w:val="center"/>
              <w:rPr>
                <w:b/>
                <w:b/>
                <w:bCs/>
              </w:rPr>
            </w:pPr>
            <w:r>
              <w:rPr>
                <w:b/>
                <w:bCs/>
              </w:rPr>
              <w:t>Produto 6</w:t>
            </w:r>
          </w:p>
        </w:tc>
        <w:tc>
          <w:tcPr>
            <w:tcW w:w="42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rPr/>
            </w:pPr>
            <w:r>
              <w:rPr/>
              <w:t>Versão final do Plano, contendo o Resumo Executivo e o registro dos processos de participação pública e validação do Plano.</w:t>
            </w:r>
          </w:p>
        </w:tc>
        <w:tc>
          <w:tcPr>
            <w:tcW w:w="18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keepLines/>
              <w:widowControl w:val="false"/>
              <w:spacing w:before="120" w:after="120"/>
              <w:ind w:firstLine="7"/>
              <w:jc w:val="center"/>
              <w:rPr/>
            </w:pPr>
            <w:r>
              <w:rPr/>
            </w:r>
          </w:p>
          <w:p>
            <w:pPr>
              <w:pStyle w:val="Normal"/>
              <w:keepLines/>
              <w:widowControl w:val="false"/>
              <w:spacing w:before="120" w:after="120"/>
              <w:ind w:firstLine="7"/>
              <w:jc w:val="center"/>
              <w:rPr/>
            </w:pPr>
            <w:r>
              <w:rPr/>
              <w:t>30 dias</w:t>
            </w:r>
          </w:p>
        </w:tc>
        <w:tc>
          <w:tcPr>
            <w:tcW w:w="17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83" w:type="dxa"/>
            </w:tcMar>
          </w:tcPr>
          <w:p>
            <w:pPr>
              <w:pStyle w:val="Normal"/>
              <w:widowControl w:val="false"/>
              <w:spacing w:before="120" w:after="120"/>
              <w:ind w:firstLine="7"/>
              <w:jc w:val="center"/>
              <w:rPr/>
            </w:pPr>
            <w:r>
              <w:rPr/>
            </w:r>
          </w:p>
          <w:p>
            <w:pPr>
              <w:pStyle w:val="Normal"/>
              <w:widowControl w:val="false"/>
              <w:spacing w:before="120" w:after="120"/>
              <w:ind w:firstLine="7"/>
              <w:jc w:val="center"/>
              <w:rPr/>
            </w:pPr>
            <w:r>
              <w:rPr/>
              <w:t>20%</w:t>
            </w:r>
          </w:p>
        </w:tc>
      </w:tr>
    </w:tbl>
    <w:p>
      <w:pPr>
        <w:pStyle w:val="Normal"/>
        <w:spacing w:before="120" w:after="120"/>
        <w:jc w:val="both"/>
        <w:rPr/>
      </w:pPr>
      <w:r>
        <w:rPr>
          <w:rFonts w:cs="Times New Roman" w:ascii="Times New Roman" w:hAnsi="Times New Roman"/>
          <w:b/>
          <w:bCs/>
        </w:rPr>
        <w:t>Todos</w:t>
      </w:r>
      <w:r>
        <w:rPr>
          <w:rFonts w:cs="Times New Roman" w:ascii="Times New Roman" w:hAnsi="Times New Roman"/>
          <w:bCs/>
        </w:rPr>
        <w:t xml:space="preserve"> os produtos deverão ser apresentados dentro dos prazos estipulados para aprovação e posterior pagamento por parte da contratante. </w:t>
      </w:r>
    </w:p>
    <w:p>
      <w:pPr>
        <w:pStyle w:val="Normal"/>
        <w:spacing w:before="240" w:after="240"/>
        <w:jc w:val="both"/>
        <w:rPr>
          <w:rFonts w:ascii="Times New Roman" w:hAnsi="Times New Roman" w:cs="Times New Roman"/>
          <w:b/>
          <w:b/>
          <w:bCs/>
        </w:rPr>
      </w:pPr>
      <w:r>
        <w:rPr>
          <w:rFonts w:cs="Times New Roman" w:ascii="Times New Roman" w:hAnsi="Times New Roman"/>
          <w:b/>
          <w:bCs/>
        </w:rPr>
        <w:t>8. FORMA DE APRESENTAÇÃO</w:t>
      </w:r>
    </w:p>
    <w:p>
      <w:pPr>
        <w:pStyle w:val="Normal"/>
        <w:spacing w:before="120" w:after="120"/>
        <w:jc w:val="both"/>
        <w:rPr>
          <w:rFonts w:ascii="Times New Roman" w:hAnsi="Times New Roman" w:cs="Times New Roman"/>
          <w:bCs/>
        </w:rPr>
      </w:pPr>
      <w:r>
        <w:rPr>
          <w:rFonts w:cs="Times New Roman" w:ascii="Times New Roman" w:hAnsi="Times New Roman"/>
          <w:bCs/>
        </w:rPr>
      </w:r>
    </w:p>
    <w:p>
      <w:pPr>
        <w:pStyle w:val="Normal"/>
        <w:spacing w:before="120" w:after="120"/>
        <w:jc w:val="both"/>
        <w:rPr/>
      </w:pPr>
      <w:r>
        <w:rPr>
          <w:rFonts w:cs="Times New Roman" w:ascii="Times New Roman" w:hAnsi="Times New Roman"/>
          <w:bCs/>
        </w:rPr>
        <w:t xml:space="preserve">Os produtos devem ser escritos em língua portuguesa e entregues em 02 (duas) vias originais, impressas em qualidade "Laserprint" ou similar, em papel formato A4, de acordo com as Normas da </w:t>
      </w:r>
      <w:r>
        <w:rPr>
          <w:rFonts w:cs="Times New Roman" w:ascii="Times New Roman" w:hAnsi="Times New Roman"/>
          <w:b/>
          <w:bCs/>
        </w:rPr>
        <w:t>Associação Brasileira de Normas Técnicas</w:t>
      </w:r>
      <w:r>
        <w:rPr>
          <w:rFonts w:cs="Times New Roman" w:ascii="Times New Roman" w:hAnsi="Times New Roman"/>
          <w:bCs/>
        </w:rPr>
        <w:t xml:space="preserve"> (ABNT). Os mapas, desenhos e gráficos deverão ser apresentados de modo adequado para sua perfeita compreensão, em CD-Rom, formatados para ARCINFO, ARCVIEW ou ERDAS, e em quatro vias originais.</w:t>
      </w:r>
    </w:p>
    <w:p>
      <w:pPr>
        <w:pStyle w:val="Normal"/>
        <w:spacing w:before="120" w:after="120"/>
        <w:jc w:val="both"/>
        <w:rPr/>
      </w:pPr>
      <w:r>
        <w:rPr>
          <w:rFonts w:cs="Times New Roman" w:ascii="Times New Roman" w:hAnsi="Times New Roman"/>
          <w:bCs/>
        </w:rPr>
        <w:t>A versão final deve ser fornecida em capa dura, bem como em CD-Rom, formatado e gravado no editor de texto "Word” da Microsoft, de comum acordo com o contratante. Também deve seguir as seguintes instruções durante a redação dos documentos finais e intermediários. A formatação dos documentos, tanto na versão preliminar, como na final, deverá observar as normas da ABNT</w:t>
      </w:r>
      <w:r>
        <w:rPr>
          <w:rFonts w:cs="Times New Roman" w:ascii="Times New Roman" w:hAnsi="Times New Roman"/>
          <w:b/>
          <w:bCs/>
        </w:rPr>
        <w:t>.</w:t>
      </w:r>
    </w:p>
    <w:p>
      <w:pPr>
        <w:pStyle w:val="Normal"/>
        <w:spacing w:before="120" w:after="120"/>
        <w:jc w:val="both"/>
        <w:rPr>
          <w:rFonts w:ascii="Times New Roman" w:hAnsi="Times New Roman" w:cs="Times New Roman"/>
          <w:bCs/>
        </w:rPr>
      </w:pPr>
      <w:r>
        <w:rPr>
          <w:rFonts w:cs="Times New Roman" w:ascii="Times New Roman" w:hAnsi="Times New Roman"/>
          <w:bCs/>
        </w:rPr>
        <w:t>O material cartográfico de fonte secundária deverá ser entregue em 02 (duas) vias originais, em escalas e formatos previamente aprovados pela equipe de trabalho, de acordo com as normas brasileiras. Todas as informações georeferenciadas devem ser entregues CD-Rom, e apresentadas em formato para ARCINFO, ARCVIEW e/ou ERDAS.</w:t>
      </w:r>
    </w:p>
    <w:p>
      <w:pPr>
        <w:pStyle w:val="Normal"/>
        <w:spacing w:before="120" w:after="120"/>
        <w:jc w:val="both"/>
        <w:rPr>
          <w:rFonts w:ascii="Times New Roman" w:hAnsi="Times New Roman" w:cs="Times New Roman"/>
          <w:bCs/>
        </w:rPr>
      </w:pPr>
      <w:r>
        <w:rPr>
          <w:rFonts w:cs="Times New Roman" w:ascii="Times New Roman" w:hAnsi="Times New Roman"/>
          <w:bCs/>
        </w:rPr>
        <w:t>Todos os produtos auxiliares, mapas, tabelas, gráficos ou material necessário para melhor compreensão do plano poderão aparecer como Anexos, de forma a manter o corpo principal do plano mais coeso e sucinto.</w:t>
      </w:r>
    </w:p>
    <w:p>
      <w:pPr>
        <w:pStyle w:val="Normal"/>
        <w:spacing w:before="120" w:after="120"/>
        <w:jc w:val="both"/>
        <w:rPr>
          <w:rFonts w:ascii="Times New Roman" w:hAnsi="Times New Roman" w:cs="Times New Roman"/>
          <w:bCs/>
        </w:rPr>
      </w:pPr>
      <w:r>
        <w:rPr>
          <w:rFonts w:cs="Times New Roman" w:ascii="Times New Roman" w:hAnsi="Times New Roman"/>
          <w:bCs/>
        </w:rPr>
        <w:t>A versão final do Plano deverá sofrer uma revisão profissional da gramática e da ortografia, a cargo do Contratado.</w:t>
      </w:r>
    </w:p>
    <w:p>
      <w:pPr>
        <w:pStyle w:val="Normal"/>
        <w:spacing w:before="120" w:after="120"/>
        <w:jc w:val="both"/>
        <w:rPr>
          <w:rFonts w:ascii="Times New Roman" w:hAnsi="Times New Roman" w:cs="Times New Roman"/>
          <w:bCs/>
        </w:rPr>
      </w:pPr>
      <w:r>
        <w:rPr>
          <w:rFonts w:cs="Times New Roman" w:ascii="Times New Roman" w:hAnsi="Times New Roman"/>
          <w:bCs/>
        </w:rPr>
      </w:r>
    </w:p>
    <w:p>
      <w:pPr>
        <w:pStyle w:val="Normal"/>
        <w:spacing w:before="120" w:after="120"/>
        <w:jc w:val="both"/>
        <w:rPr>
          <w:rFonts w:ascii="Times New Roman" w:hAnsi="Times New Roman" w:cs="Times New Roman"/>
          <w:bCs/>
        </w:rPr>
      </w:pPr>
      <w:r>
        <w:rPr>
          <w:rFonts w:cs="Times New Roman" w:ascii="Times New Roman" w:hAnsi="Times New Roman"/>
          <w:bCs/>
        </w:rPr>
      </w:r>
    </w:p>
    <w:p>
      <w:pPr>
        <w:pStyle w:val="Normal"/>
        <w:spacing w:before="240" w:after="240"/>
        <w:jc w:val="both"/>
        <w:rPr/>
      </w:pPr>
      <w:r>
        <w:rPr>
          <w:rFonts w:cs="Times New Roman" w:ascii="Times New Roman" w:hAnsi="Times New Roman"/>
          <w:b/>
          <w:bCs/>
        </w:rPr>
        <w:t>9.</w:t>
      </w:r>
      <w:r>
        <w:rPr>
          <w:rFonts w:cs="Times New Roman" w:ascii="Times New Roman" w:hAnsi="Times New Roman"/>
          <w:bCs/>
        </w:rPr>
        <w:t xml:space="preserve"> </w:t>
      </w:r>
      <w:r>
        <w:rPr>
          <w:rFonts w:cs="Times New Roman" w:ascii="Times New Roman" w:hAnsi="Times New Roman"/>
          <w:b/>
          <w:bCs/>
        </w:rPr>
        <w:t xml:space="preserve">QUALIFICAÇÃO DA EQUIPE TÉCNICA </w:t>
      </w:r>
    </w:p>
    <w:p>
      <w:pPr>
        <w:pStyle w:val="Normal"/>
        <w:spacing w:before="120" w:after="120"/>
        <w:jc w:val="both"/>
        <w:rPr/>
      </w:pPr>
      <w:r>
        <w:rPr>
          <w:rFonts w:cs="Times New Roman" w:ascii="Times New Roman" w:hAnsi="Times New Roman"/>
          <w:bCs/>
        </w:rPr>
        <w:t>A equipe que realizará os trabalhos de formulação do Plano d</w:t>
      </w:r>
      <w:r>
        <w:rPr>
          <w:rFonts w:cs="Times New Roman" w:ascii="Times New Roman" w:hAnsi="Times New Roman"/>
        </w:rPr>
        <w:t xml:space="preserve">everá incluir, no mínimo, profissionais, conforme </w:t>
      </w:r>
      <w:r>
        <w:rPr>
          <w:rFonts w:cs="Times New Roman" w:ascii="Times New Roman" w:hAnsi="Times New Roman"/>
          <w:b/>
        </w:rPr>
        <w:t>Quadro 2</w:t>
      </w:r>
      <w:r>
        <w:rPr>
          <w:rFonts w:cs="Times New Roman" w:ascii="Times New Roman" w:hAnsi="Times New Roman"/>
        </w:rPr>
        <w:t xml:space="preserve">. </w:t>
      </w:r>
    </w:p>
    <w:p>
      <w:pPr>
        <w:pStyle w:val="Normal"/>
        <w:spacing w:before="240" w:after="240"/>
        <w:jc w:val="center"/>
        <w:rPr>
          <w:rFonts w:ascii="Times New Roman" w:hAnsi="Times New Roman" w:cs="Times New Roman"/>
          <w:b/>
          <w:b/>
        </w:rPr>
      </w:pPr>
      <w:r>
        <w:rPr>
          <w:rFonts w:cs="Times New Roman" w:ascii="Times New Roman" w:hAnsi="Times New Roman"/>
          <w:b/>
        </w:rPr>
        <w:t>QUADRO 2 – EQUIPE TÉCNICA MÍNIMA PARA A ELABORAÇÃO DO PLANO</w:t>
      </w:r>
    </w:p>
    <w:tbl>
      <w:tblPr>
        <w:tblW w:w="923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5" w:type="dxa"/>
          <w:bottom w:w="0" w:type="dxa"/>
          <w:right w:w="70" w:type="dxa"/>
        </w:tblCellMar>
        <w:tblLook w:firstRow="0" w:noVBand="0" w:lastRow="0" w:firstColumn="0" w:lastColumn="0" w:noHBand="0" w:val="0000"/>
      </w:tblPr>
      <w:tblGrid>
        <w:gridCol w:w="764"/>
        <w:gridCol w:w="8467"/>
      </w:tblGrid>
      <w:tr>
        <w:trPr>
          <w:trHeight w:val="330"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55" w:type="dxa"/>
            </w:tcMar>
            <w:vAlign w:val="center"/>
          </w:tcPr>
          <w:p>
            <w:pPr>
              <w:pStyle w:val="Normal"/>
              <w:spacing w:before="120" w:after="120"/>
              <w:jc w:val="center"/>
              <w:rPr>
                <w:rFonts w:ascii="Times New Roman" w:hAnsi="Times New Roman" w:cs="Times New Roman"/>
                <w:b/>
                <w:b/>
                <w:bCs/>
                <w:sz w:val="20"/>
                <w:szCs w:val="20"/>
              </w:rPr>
            </w:pPr>
            <w:r>
              <w:rPr>
                <w:rFonts w:cs="Times New Roman" w:ascii="Times New Roman" w:hAnsi="Times New Roman"/>
                <w:b/>
                <w:bCs/>
                <w:sz w:val="20"/>
                <w:szCs w:val="20"/>
              </w:rPr>
              <w:t>ITEM</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55"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DISCRIMINAÇÃO DO PROFISSIONAL</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1</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Coordenador do projeto</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com experiência comprovada de no mínimo 5 anos em gerenciamento de projetos envolvendo múltiplas instituições.</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2</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Programação e Monitoramento</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com experiência comprovada de no mínimo 5 anos no uso de técnicas de programação envolvendo múltiplas instituições e com prática na aplicação de processos de monitoramento.</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3</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Urbanismo</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em arquitetura e/ ou urbanismo, com no mínimo 5 anos de experiência na elaboração e supervisão de projetos de urbanização.</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4</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Patrimônio Histórico</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em arquitetura, com no mínimo 5 anos de experiência na elaboração e supervisão de projetos de conservação/ preservação/ recuperação/ reabilitação de Patrimônio Histórico.</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5</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pPr>
            <w:r>
              <w:rPr>
                <w:rFonts w:cs="Times New Roman" w:ascii="Times New Roman" w:hAnsi="Times New Roman"/>
                <w:b/>
                <w:sz w:val="20"/>
                <w:szCs w:val="20"/>
              </w:rPr>
              <w:t>Especialista em Fortalecimento da Gestão Municipal</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em Administração, preferencialmente em Administração Pública, Direito ou Engenharia, com no mínimo 5 anos de experiência na elaboração e supervisão de estudos, planos e projetos de desenvolvimento institucional de órgãos públicos.</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6</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Meio Ambiente</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na área de Ciências Naturais, Engenharia Ambiental ou afins, com especialização e/ ou mestrado na área sócio-ambiental e experiência de, no mínimo, 5 anos em gestão ambiental envolvendo a preparação e/ ou implantação de obras de infraestrutura e urbanismo e experiência comprovada na coordenação e/ ou execução de estudos de avaliação ambiental (EIA/RIMA, PCA, PRAD etc.) e acompanhamento de processos de licenciamento.</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7</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Planejamento Turístico</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preferencialmente na área de Turismo, com especialização em planejamento e gestão do turismo no setor público, com experiência de, no mínimo, 5 anos de trabalho em organizações relacionadas com a gestão e promoção de destinos turísticos com responsabilidades gerenciais.</w:t>
            </w:r>
          </w:p>
        </w:tc>
      </w:tr>
      <w:tr>
        <w:trPr>
          <w:trHeight w:val="255"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8</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widowControl w:val="false"/>
              <w:jc w:val="both"/>
              <w:rPr>
                <w:rFonts w:ascii="Times New Roman" w:hAnsi="Times New Roman" w:cs="Times New Roman"/>
                <w:b/>
                <w:b/>
                <w:bCs/>
                <w:sz w:val="20"/>
                <w:szCs w:val="20"/>
              </w:rPr>
            </w:pPr>
            <w:r>
              <w:rPr>
                <w:rFonts w:cs="Times New Roman" w:ascii="Times New Roman" w:hAnsi="Times New Roman"/>
                <w:b/>
                <w:bCs/>
                <w:sz w:val="20"/>
                <w:szCs w:val="20"/>
              </w:rPr>
              <w:t xml:space="preserve">Especialista em Estudos e Análise de Viabilidade </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com graduação em economia ou administração e especialização em viabilidade de programas e com experiência de, no mínimo, 5 anos em avaliação de projetos.</w:t>
            </w:r>
          </w:p>
        </w:tc>
      </w:tr>
      <w:tr>
        <w:trPr>
          <w:trHeight w:val="902" w:hRule="atLeast"/>
        </w:trPr>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spacing w:before="120" w:after="120"/>
              <w:ind w:firstLine="201"/>
              <w:jc w:val="center"/>
              <w:rPr>
                <w:rFonts w:ascii="Times New Roman" w:hAnsi="Times New Roman" w:cs="Times New Roman"/>
                <w:b/>
                <w:b/>
                <w:sz w:val="20"/>
                <w:szCs w:val="20"/>
              </w:rPr>
            </w:pPr>
            <w:r>
              <w:rPr>
                <w:rFonts w:cs="Times New Roman" w:ascii="Times New Roman" w:hAnsi="Times New Roman"/>
                <w:b/>
                <w:sz w:val="20"/>
                <w:szCs w:val="20"/>
              </w:rPr>
              <w:t>9</w:t>
            </w:r>
          </w:p>
        </w:tc>
        <w:tc>
          <w:tcPr>
            <w:tcW w:w="8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both"/>
              <w:rPr>
                <w:rFonts w:ascii="Times New Roman" w:hAnsi="Times New Roman" w:cs="Times New Roman"/>
                <w:b/>
                <w:b/>
                <w:sz w:val="20"/>
                <w:szCs w:val="20"/>
              </w:rPr>
            </w:pPr>
            <w:r>
              <w:rPr>
                <w:rFonts w:cs="Times New Roman" w:ascii="Times New Roman" w:hAnsi="Times New Roman"/>
                <w:b/>
                <w:sz w:val="20"/>
                <w:szCs w:val="20"/>
              </w:rPr>
              <w:t>Especialista em Projetos de Infraestrutura</w:t>
            </w:r>
          </w:p>
          <w:p>
            <w:pPr>
              <w:pStyle w:val="Normal"/>
              <w:jc w:val="both"/>
              <w:rPr>
                <w:rFonts w:ascii="Times New Roman" w:hAnsi="Times New Roman" w:cs="Times New Roman"/>
                <w:sz w:val="20"/>
                <w:szCs w:val="20"/>
              </w:rPr>
            </w:pPr>
            <w:r>
              <w:rPr>
                <w:rFonts w:cs="Times New Roman" w:ascii="Times New Roman" w:hAnsi="Times New Roman"/>
                <w:sz w:val="20"/>
                <w:szCs w:val="20"/>
              </w:rPr>
              <w:t>Nível superior em engenharia civil, com no mínimo 5 anos de experiência na elaboração e supervisão de projetos de obras civis em transportes, saneamento ou urbanização de áreas, com conhecimento das tecnologias e materiais mais recomendáveis na região.</w:t>
            </w:r>
          </w:p>
        </w:tc>
      </w:tr>
    </w:tbl>
    <w:p>
      <w:pPr>
        <w:pStyle w:val="Normal"/>
        <w:spacing w:before="120" w:after="120"/>
        <w:jc w:val="both"/>
        <w:rPr>
          <w:rFonts w:ascii="Times New Roman" w:hAnsi="Times New Roman" w:cs="Times New Roman"/>
          <w:b/>
          <w:b/>
          <w:bCs/>
        </w:rPr>
      </w:pPr>
      <w:r>
        <w:rPr>
          <w:rFonts w:cs="Times New Roman" w:ascii="Times New Roman" w:hAnsi="Times New Roman"/>
          <w:b/>
          <w:bCs/>
        </w:rPr>
      </w:r>
    </w:p>
    <w:p>
      <w:pPr>
        <w:pStyle w:val="Normal"/>
        <w:spacing w:before="240" w:after="240"/>
        <w:jc w:val="both"/>
        <w:rPr/>
      </w:pPr>
      <w:r>
        <w:rPr>
          <w:rFonts w:cs="Times New Roman" w:ascii="Times New Roman" w:hAnsi="Times New Roman"/>
          <w:b/>
          <w:bCs/>
        </w:rPr>
        <w:t>10. PARTICIPAÇÃO PÚBLICA E VALIDAÇÃO DO PLANO</w:t>
      </w:r>
    </w:p>
    <w:p>
      <w:pPr>
        <w:pStyle w:val="Normal"/>
        <w:tabs>
          <w:tab w:val="left" w:pos="0" w:leader="none"/>
        </w:tabs>
        <w:spacing w:before="120" w:after="120"/>
        <w:jc w:val="both"/>
        <w:rPr/>
      </w:pPr>
      <w:r>
        <w:rPr>
          <w:rFonts w:cs="Times New Roman" w:ascii="Times New Roman" w:hAnsi="Times New Roman"/>
          <w:bCs/>
        </w:rPr>
        <w:t>Como parte dos serviços de consultoria, previsão no orçamento da organização e da realização de eventos de</w:t>
      </w:r>
      <w:r>
        <w:rPr>
          <w:rFonts w:cs="Times New Roman" w:ascii="Times New Roman" w:hAnsi="Times New Roman"/>
        </w:rPr>
        <w:t xml:space="preserve"> participação e validação do Plano (reuniões técnicas, oficinas, audiências públicas), com a participação de representantes da contratante, dos órgãos governamentais envolvidos, do </w:t>
      </w:r>
      <w:r>
        <w:rPr>
          <w:rFonts w:cs="Times New Roman" w:ascii="Times New Roman" w:hAnsi="Times New Roman"/>
          <w:i/>
        </w:rPr>
        <w:t>trade</w:t>
      </w:r>
      <w:r>
        <w:rPr>
          <w:rFonts w:cs="Times New Roman" w:ascii="Times New Roman" w:hAnsi="Times New Roman"/>
        </w:rPr>
        <w:t xml:space="preserve"> turístico, do Conselho de Turismo, de outros setores econômicos interessados, das associações civis e das comunidades da Área Turística. </w:t>
      </w:r>
    </w:p>
    <w:p>
      <w:pPr>
        <w:pStyle w:val="BodyText2"/>
        <w:spacing w:lineRule="auto" w:line="240" w:before="120" w:after="120"/>
        <w:jc w:val="both"/>
        <w:rPr/>
      </w:pPr>
      <w:r>
        <w:rPr/>
        <w:t>Deverá ser explicitado se o Conselho Regional de Turismo já está instalado ou se está em vias de instalação indicando sua composição e funcionamento.</w:t>
      </w:r>
    </w:p>
    <w:p>
      <w:pPr>
        <w:pStyle w:val="Normal"/>
        <w:tabs>
          <w:tab w:val="left" w:pos="0" w:leader="none"/>
        </w:tabs>
        <w:spacing w:before="120" w:after="120"/>
        <w:jc w:val="both"/>
        <w:rPr>
          <w:rFonts w:ascii="Times New Roman" w:hAnsi="Times New Roman" w:cs="Times New Roman"/>
        </w:rPr>
      </w:pPr>
      <w:r>
        <w:rPr>
          <w:rFonts w:cs="Times New Roman" w:ascii="Times New Roman" w:hAnsi="Times New Roman"/>
        </w:rPr>
        <w:t xml:space="preserve">Deverão ser realizados e amplamente divulgados, no mínimo, dois eventos de participação pública, durante a execução dos trabalhos com o objetivo de divulgar os resultados, discutir as propostas e receber sugestões dos participantes, preferencialmente, nos seguintes momentos: </w:t>
      </w:r>
    </w:p>
    <w:p>
      <w:pPr>
        <w:pStyle w:val="Normal"/>
        <w:numPr>
          <w:ilvl w:val="0"/>
          <w:numId w:val="18"/>
        </w:numPr>
        <w:suppressAutoHyphens w:val="false"/>
        <w:spacing w:before="120" w:after="120"/>
        <w:jc w:val="both"/>
        <w:textAlignment w:val="auto"/>
        <w:rPr/>
      </w:pPr>
      <w:r>
        <w:rPr>
          <w:rFonts w:cs="Times New Roman" w:ascii="Times New Roman" w:hAnsi="Times New Roman"/>
        </w:rPr>
        <w:t>Após a aprovação do produto referente ao diagnóstico da Área Turística (Produto 2) deverá ser realizada uma Oficina Pública;</w:t>
      </w:r>
    </w:p>
    <w:p>
      <w:pPr>
        <w:pStyle w:val="Normal"/>
        <w:numPr>
          <w:ilvl w:val="0"/>
          <w:numId w:val="18"/>
        </w:numPr>
        <w:suppressAutoHyphens w:val="false"/>
        <w:spacing w:before="120" w:after="120"/>
        <w:jc w:val="both"/>
        <w:textAlignment w:val="auto"/>
        <w:rPr/>
      </w:pPr>
      <w:r>
        <w:rPr>
          <w:rFonts w:cs="Times New Roman" w:ascii="Times New Roman" w:hAnsi="Times New Roman"/>
          <w:bCs/>
        </w:rPr>
        <w:t>Após aprovação da versão preliminar deverá ser realizada uma</w:t>
      </w:r>
      <w:r>
        <w:rPr>
          <w:rFonts w:cs="Times New Roman" w:ascii="Times New Roman" w:hAnsi="Times New Roman"/>
          <w:b/>
          <w:bCs/>
        </w:rPr>
        <w:t xml:space="preserve"> Audiência Pública</w:t>
      </w:r>
      <w:r>
        <w:rPr>
          <w:rFonts w:cs="Times New Roman" w:ascii="Times New Roman" w:hAnsi="Times New Roman"/>
          <w:bCs/>
        </w:rPr>
        <w:t xml:space="preserve"> para validação final do Plano.</w:t>
      </w:r>
    </w:p>
    <w:p>
      <w:pPr>
        <w:pStyle w:val="Normal"/>
        <w:spacing w:before="240" w:after="240"/>
        <w:jc w:val="both"/>
        <w:rPr>
          <w:rFonts w:ascii="Times New Roman" w:hAnsi="Times New Roman" w:cs="Times New Roman"/>
          <w:b/>
          <w:b/>
          <w:bCs/>
        </w:rPr>
      </w:pPr>
      <w:r>
        <w:rPr>
          <w:rFonts w:cs="Times New Roman" w:ascii="Times New Roman" w:hAnsi="Times New Roman"/>
          <w:b/>
          <w:bCs/>
        </w:rPr>
        <w:t>11. DOCUMENTOS DISPONÍVEIS PARA CONSULTA</w:t>
      </w:r>
    </w:p>
    <w:p>
      <w:pPr>
        <w:pStyle w:val="Normal"/>
        <w:tabs>
          <w:tab w:val="left" w:pos="720" w:leader="none"/>
        </w:tabs>
        <w:spacing w:before="120" w:after="120"/>
        <w:jc w:val="both"/>
        <w:rPr>
          <w:rFonts w:ascii="Times New Roman" w:hAnsi="Times New Roman" w:cs="Times New Roman"/>
        </w:rPr>
      </w:pPr>
      <w:r>
        <w:rPr>
          <w:rFonts w:cs="Times New Roman" w:ascii="Times New Roman" w:hAnsi="Times New Roman"/>
        </w:rPr>
      </w:r>
    </w:p>
    <w:p>
      <w:pPr>
        <w:pStyle w:val="Normal"/>
        <w:tabs>
          <w:tab w:val="left" w:pos="720" w:leader="none"/>
        </w:tabs>
        <w:spacing w:before="120" w:after="120"/>
        <w:jc w:val="both"/>
        <w:rPr>
          <w:rFonts w:ascii="Times New Roman" w:hAnsi="Times New Roman" w:eastAsia="Times New Roman" w:cs="Times New Roman"/>
        </w:rPr>
      </w:pPr>
      <w:r>
        <w:rPr>
          <w:rFonts w:eastAsia="Times New Roman" w:cs="Times New Roman" w:ascii="Times New Roman" w:hAnsi="Times New Roman"/>
        </w:rPr>
        <w:t>Livros de registros históricos da colonização do município e seu desenvolvimento, documentos técnicos produzidos em conjunto com a Santa Catarina Turismo (SANTUR), materiais contidos nos arquivos da Prefeitura Municipal, documentos de qualidade ambiental na Secretaria Municipal de Agricultura e Meio Ambiente e Fundação do Meio Ambiente de Santa Catarina (FATMA-SC), dados estatísticos demográficos juntos ao IBGE e todo material técnico e informativo disponível na Secretaria Municipal de Cultura e Turismo. Também estarão disponíveis para consulta, materiais do acervo da Congregação das Irmãzinhas da Imaculada Conceição e da Paróquia São Virgílio.</w:t>
      </w:r>
    </w:p>
    <w:p>
      <w:pPr>
        <w:pStyle w:val="Normal"/>
        <w:spacing w:before="240" w:after="240"/>
        <w:jc w:val="both"/>
        <w:rPr>
          <w:rFonts w:ascii="Times New Roman" w:hAnsi="Times New Roman" w:cs="Times New Roman"/>
          <w:b/>
          <w:b/>
          <w:bCs/>
        </w:rPr>
      </w:pPr>
      <w:r>
        <w:rPr>
          <w:rFonts w:cs="Times New Roman" w:ascii="Times New Roman" w:hAnsi="Times New Roman"/>
          <w:b/>
          <w:bCs/>
        </w:rPr>
        <w:t>12. ORÇAMENTO DOS SERVIÇOS</w:t>
      </w:r>
    </w:p>
    <w:p>
      <w:pPr>
        <w:pStyle w:val="Normal"/>
        <w:spacing w:before="120" w:after="120"/>
        <w:jc w:val="both"/>
        <w:rPr>
          <w:rFonts w:ascii="Times New Roman" w:hAnsi="Times New Roman" w:cs="Times New Roman"/>
        </w:rPr>
      </w:pPr>
      <w:r>
        <w:rPr>
          <w:rFonts w:cs="Times New Roman" w:ascii="Times New Roman" w:hAnsi="Times New Roman"/>
        </w:rPr>
        <w:t>Deverá ser apresentada planilha de discriminação dos custos, conforme modelo que segue:</w: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Corpodetexto"/>
        <w:spacing w:lineRule="auto" w:line="240" w:before="240" w:after="240"/>
        <w:jc w:val="center"/>
        <w:rPr>
          <w:rFonts w:ascii="Times New Roman" w:hAnsi="Times New Roman"/>
          <w:b/>
          <w:b/>
          <w:i w:val="false"/>
          <w:i w:val="false"/>
        </w:rPr>
      </w:pPr>
      <w:r>
        <w:rPr>
          <w:rFonts w:ascii="Times New Roman" w:hAnsi="Times New Roman"/>
          <w:b/>
          <w:i w:val="false"/>
        </w:rPr>
        <w:t>QUADRO 4: PLANILHA DE CUSTOS (ORÇAMENTO)</w:t>
      </w:r>
    </w:p>
    <w:tbl>
      <w:tblPr>
        <w:tblW w:w="10006" w:type="dxa"/>
        <w:jc w:val="center"/>
        <w:tblInd w:w="0" w:type="dxa"/>
        <w:tblBorders>
          <w:top w:val="single" w:sz="8" w:space="0" w:color="00000A"/>
          <w:left w:val="single" w:sz="8" w:space="0" w:color="00000A"/>
          <w:bottom w:val="single" w:sz="8" w:space="0" w:color="00000A"/>
          <w:insideH w:val="single" w:sz="8" w:space="0" w:color="00000A"/>
        </w:tblBorders>
        <w:tblCellMar>
          <w:top w:w="0" w:type="dxa"/>
          <w:left w:w="30" w:type="dxa"/>
          <w:bottom w:w="0" w:type="dxa"/>
          <w:right w:w="70" w:type="dxa"/>
        </w:tblCellMar>
        <w:tblLook w:firstRow="0" w:noVBand="0" w:lastRow="0" w:firstColumn="0" w:lastColumn="0" w:noHBand="0" w:val="0000"/>
      </w:tblPr>
      <w:tblGrid>
        <w:gridCol w:w="674"/>
        <w:gridCol w:w="3944"/>
        <w:gridCol w:w="1"/>
        <w:gridCol w:w="1275"/>
        <w:gridCol w:w="1"/>
        <w:gridCol w:w="1558"/>
        <w:gridCol w:w="1"/>
        <w:gridCol w:w="1417"/>
        <w:gridCol w:w="1"/>
        <w:gridCol w:w="1133"/>
      </w:tblGrid>
      <w:tr>
        <w:trPr>
          <w:trHeight w:val="330" w:hRule="atLeast"/>
        </w:trPr>
        <w:tc>
          <w:tcPr>
            <w:tcW w:w="10005" w:type="dxa"/>
            <w:gridSpan w:val="10"/>
            <w:tcBorders>
              <w:top w:val="single" w:sz="8" w:space="0" w:color="00000A"/>
              <w:left w:val="single" w:sz="8" w:space="0" w:color="00000A"/>
              <w:bottom w:val="single" w:sz="8" w:space="0" w:color="00000A"/>
              <w:insideH w:val="single" w:sz="8" w:space="0" w:color="00000A"/>
            </w:tcBorders>
            <w:shd w:color="auto" w:fill="auto" w:val="clear"/>
            <w:tcMar>
              <w:left w:w="30" w:type="dxa"/>
            </w:tcMar>
            <w:vAlign w:val="center"/>
          </w:tcPr>
          <w:p>
            <w:pPr>
              <w:pStyle w:val="Normal"/>
              <w:jc w:val="center"/>
              <w:rPr>
                <w:rFonts w:ascii="Times New Roman" w:hAnsi="Times New Roman" w:cs="Times New Roman"/>
                <w:b/>
                <w:b/>
                <w:bCs/>
              </w:rPr>
            </w:pPr>
            <w:r>
              <w:rPr>
                <w:rFonts w:cs="Times New Roman" w:ascii="Times New Roman" w:hAnsi="Times New Roman"/>
                <w:b/>
                <w:bCs/>
              </w:rPr>
              <w:t>ORÇAMENTO ESTIMATIVO</w:t>
            </w:r>
          </w:p>
        </w:tc>
      </w:tr>
      <w:tr>
        <w:trPr>
          <w:trHeight w:val="315" w:hRule="atLeast"/>
        </w:trPr>
        <w:tc>
          <w:tcPr>
            <w:tcW w:w="10005" w:type="dxa"/>
            <w:gridSpan w:val="10"/>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vAlign w:val="bottom"/>
          </w:tcPr>
          <w:p>
            <w:pPr>
              <w:pStyle w:val="Normal"/>
              <w:jc w:val="center"/>
              <w:rPr/>
            </w:pPr>
            <w:r>
              <mc:AlternateContent>
                <mc:Choice Requires="wps">
                  <w:drawing>
                    <wp:anchor behindDoc="0" distT="0" distB="3" distL="114300" distR="113030" simplePos="0" locked="0" layoutInCell="1" allowOverlap="1" relativeHeight="3">
                      <wp:simplePos x="0" y="0"/>
                      <wp:positionH relativeFrom="column">
                        <wp:posOffset>6029325</wp:posOffset>
                      </wp:positionH>
                      <wp:positionV relativeFrom="paragraph">
                        <wp:posOffset>635</wp:posOffset>
                      </wp:positionV>
                      <wp:extent cx="887095" cy="16510"/>
                      <wp:effectExtent l="0" t="0" r="9525" b="3807"/>
                      <wp:wrapNone/>
                      <wp:docPr id="19" name="Retângulo 10"/>
                      <a:graphic xmlns:a="http://schemas.openxmlformats.org/drawingml/2006/main">
                        <a:graphicData uri="http://schemas.microsoft.com/office/word/2010/wordprocessingShape">
                          <wps:wsp>
                            <wps:cNvSpPr/>
                            <wps:spPr>
                              <a:xfrm>
                                <a:off x="0" y="0"/>
                                <a:ext cx="886320" cy="15840"/>
                              </a:xfrm>
                              <a:prstGeom prst="rect">
                                <a:avLst/>
                              </a:prstGeom>
                              <a:solidFill>
                                <a:srgbClr val="ffffff"/>
                              </a:solidFill>
                              <a:ln>
                                <a:noFill/>
                              </a:ln>
                            </wps:spPr>
                            <wps:style>
                              <a:lnRef idx="0"/>
                              <a:fillRef idx="0"/>
                              <a:effectRef idx="0"/>
                              <a:fontRef idx="minor"/>
                            </wps:style>
                            <wps:txbx>
                              <w:txbxContent>
                                <w:p>
                                  <w:pPr>
                                    <w:pStyle w:val="Contedodoquadro"/>
                                    <w:rPr/>
                                  </w:pPr>
                                  <w:r>
                                    <w:rPr>
                                      <w:rFonts w:cs="Arial" w:ascii="Arial" w:hAnsi="Arial"/>
                                      <w:color w:val="000000"/>
                                      <w:sz w:val="28"/>
                                      <w:szCs w:val="28"/>
                                    </w:rPr>
                                    <w:br/>
                                    <w:br/>
                                    <w:t>30/05/2001</w:t>
                                  </w:r>
                                  <w:r>
                                    <w:rPr/>
                                    <w:t xml:space="preserve"> </w:t>
                                  </w:r>
                                </w:p>
                              </w:txbxContent>
                            </wps:txbx>
                            <wps:bodyPr lIns="0" rIns="0" tIns="0" bIns="0">
                              <a:noAutofit/>
                            </wps:bodyPr>
                          </wps:wsp>
                        </a:graphicData>
                      </a:graphic>
                    </wp:anchor>
                  </w:drawing>
                </mc:Choice>
                <mc:Fallback>
                  <w:pict>
                    <v:rect id="shape_0" ID="Retângulo 10" fillcolor="white" stroked="f" style="position:absolute;margin-left:474.75pt;margin-top:0.05pt;width:69.75pt;height:1.2pt">
                      <w10:wrap type="square"/>
                      <v:fill o:detectmouseclick="t" type="solid" color2="black"/>
                      <v:stroke color="#3465a4" joinstyle="round" endcap="flat"/>
                      <v:textbox>
                        <w:txbxContent>
                          <w:p>
                            <w:pPr>
                              <w:pStyle w:val="Contedodoquadro"/>
                              <w:rPr/>
                            </w:pPr>
                            <w:r>
                              <w:rPr>
                                <w:rFonts w:cs="Arial" w:ascii="Arial" w:hAnsi="Arial"/>
                                <w:color w:val="000000"/>
                                <w:sz w:val="28"/>
                                <w:szCs w:val="28"/>
                              </w:rPr>
                              <w:br/>
                              <w:br/>
                              <w:t>30/05/2001</w:t>
                            </w:r>
                            <w:r>
                              <w:rPr/>
                              <w:t xml:space="preserve"> </w:t>
                            </w:r>
                          </w:p>
                        </w:txbxContent>
                      </v:textbox>
                    </v:rect>
                  </w:pict>
                </mc:Fallback>
              </mc:AlternateContent>
              <mc:AlternateContent>
                <mc:Choice Requires="wps">
                  <w:drawing>
                    <wp:anchor behindDoc="0" distT="0" distB="3" distL="114300" distR="113030" simplePos="0" locked="0" layoutInCell="1" allowOverlap="1" relativeHeight="4">
                      <wp:simplePos x="0" y="0"/>
                      <wp:positionH relativeFrom="column">
                        <wp:posOffset>6029325</wp:posOffset>
                      </wp:positionH>
                      <wp:positionV relativeFrom="paragraph">
                        <wp:posOffset>635</wp:posOffset>
                      </wp:positionV>
                      <wp:extent cx="887095" cy="16510"/>
                      <wp:effectExtent l="0" t="0" r="9525" b="3807"/>
                      <wp:wrapNone/>
                      <wp:docPr id="21" name="Retângulo 11"/>
                      <a:graphic xmlns:a="http://schemas.openxmlformats.org/drawingml/2006/main">
                        <a:graphicData uri="http://schemas.microsoft.com/office/word/2010/wordprocessingShape">
                          <wps:wsp>
                            <wps:cNvSpPr/>
                            <wps:spPr>
                              <a:xfrm>
                                <a:off x="0" y="0"/>
                                <a:ext cx="886320" cy="15840"/>
                              </a:xfrm>
                              <a:prstGeom prst="rect">
                                <a:avLst/>
                              </a:prstGeom>
                              <a:solidFill>
                                <a:srgbClr val="ffffff"/>
                              </a:solidFill>
                              <a:ln>
                                <a:noFill/>
                              </a:ln>
                            </wps:spPr>
                            <wps:style>
                              <a:lnRef idx="0"/>
                              <a:fillRef idx="0"/>
                              <a:effectRef idx="0"/>
                              <a:fontRef idx="minor"/>
                            </wps:style>
                            <wps:txbx>
                              <w:txbxContent>
                                <w:p>
                                  <w:pPr>
                                    <w:pStyle w:val="Contedodoquadro"/>
                                    <w:rPr/>
                                  </w:pPr>
                                  <w:r>
                                    <w:rPr>
                                      <w:rFonts w:cs="Arial" w:ascii="Arial" w:hAnsi="Arial"/>
                                      <w:color w:val="000000"/>
                                      <w:sz w:val="28"/>
                                      <w:szCs w:val="28"/>
                                    </w:rPr>
                                    <w:br/>
                                    <w:br/>
                                    <w:t>30/05/2001</w:t>
                                  </w:r>
                                  <w:r>
                                    <w:rPr/>
                                    <w:t xml:space="preserve"> </w:t>
                                  </w:r>
                                </w:p>
                              </w:txbxContent>
                            </wps:txbx>
                            <wps:bodyPr lIns="0" rIns="0" tIns="0" bIns="0">
                              <a:noAutofit/>
                            </wps:bodyPr>
                          </wps:wsp>
                        </a:graphicData>
                      </a:graphic>
                    </wp:anchor>
                  </w:drawing>
                </mc:Choice>
                <mc:Fallback>
                  <w:pict>
                    <v:rect id="shape_0" ID="Retângulo 11" fillcolor="white" stroked="f" style="position:absolute;margin-left:474.75pt;margin-top:0.05pt;width:69.75pt;height:1.2pt">
                      <w10:wrap type="square"/>
                      <v:fill o:detectmouseclick="t" type="solid" color2="black"/>
                      <v:stroke color="#3465a4" joinstyle="round" endcap="flat"/>
                      <v:textbox>
                        <w:txbxContent>
                          <w:p>
                            <w:pPr>
                              <w:pStyle w:val="Contedodoquadro"/>
                              <w:rPr/>
                            </w:pPr>
                            <w:r>
                              <w:rPr>
                                <w:rFonts w:cs="Arial" w:ascii="Arial" w:hAnsi="Arial"/>
                                <w:color w:val="000000"/>
                                <w:sz w:val="28"/>
                                <w:szCs w:val="28"/>
                              </w:rPr>
                              <w:br/>
                              <w:br/>
                              <w:t>30/05/2001</w:t>
                            </w:r>
                            <w:r>
                              <w:rPr/>
                              <w:t xml:space="preserve"> </w:t>
                            </w:r>
                          </w:p>
                        </w:txbxContent>
                      </v:textbox>
                    </v:rect>
                  </w:pict>
                </mc:Fallback>
              </mc:AlternateContent>
              <mc:AlternateContent>
                <mc:Choice Requires="wps">
                  <w:drawing>
                    <wp:anchor behindDoc="0" distT="0" distB="3" distL="114300" distR="113030" simplePos="0" locked="0" layoutInCell="1" allowOverlap="1" relativeHeight="5">
                      <wp:simplePos x="0" y="0"/>
                      <wp:positionH relativeFrom="column">
                        <wp:posOffset>6029325</wp:posOffset>
                      </wp:positionH>
                      <wp:positionV relativeFrom="paragraph">
                        <wp:posOffset>635</wp:posOffset>
                      </wp:positionV>
                      <wp:extent cx="887095" cy="16510"/>
                      <wp:effectExtent l="0" t="0" r="9525" b="3807"/>
                      <wp:wrapNone/>
                      <wp:docPr id="23" name="Retângulo 12"/>
                      <a:graphic xmlns:a="http://schemas.openxmlformats.org/drawingml/2006/main">
                        <a:graphicData uri="http://schemas.microsoft.com/office/word/2010/wordprocessingShape">
                          <wps:wsp>
                            <wps:cNvSpPr/>
                            <wps:spPr>
                              <a:xfrm>
                                <a:off x="0" y="0"/>
                                <a:ext cx="886320" cy="15840"/>
                              </a:xfrm>
                              <a:prstGeom prst="rect">
                                <a:avLst/>
                              </a:prstGeom>
                              <a:solidFill>
                                <a:srgbClr val="ffffff"/>
                              </a:solidFill>
                              <a:ln>
                                <a:noFill/>
                              </a:ln>
                            </wps:spPr>
                            <wps:style>
                              <a:lnRef idx="0"/>
                              <a:fillRef idx="0"/>
                              <a:effectRef idx="0"/>
                              <a:fontRef idx="minor"/>
                            </wps:style>
                            <wps:txbx>
                              <w:txbxContent>
                                <w:p>
                                  <w:pPr>
                                    <w:pStyle w:val="Contedodoquadro"/>
                                    <w:rPr/>
                                  </w:pPr>
                                  <w:r>
                                    <w:rPr>
                                      <w:rFonts w:cs="Arial" w:ascii="Arial" w:hAnsi="Arial"/>
                                      <w:color w:val="000000"/>
                                      <w:sz w:val="28"/>
                                      <w:szCs w:val="28"/>
                                    </w:rPr>
                                    <w:br/>
                                    <w:br/>
                                    <w:t>30/05/2001</w:t>
                                  </w:r>
                                  <w:r>
                                    <w:rPr/>
                                    <w:t xml:space="preserve"> </w:t>
                                  </w:r>
                                </w:p>
                              </w:txbxContent>
                            </wps:txbx>
                            <wps:bodyPr lIns="0" rIns="0" tIns="0" bIns="0">
                              <a:noAutofit/>
                            </wps:bodyPr>
                          </wps:wsp>
                        </a:graphicData>
                      </a:graphic>
                    </wp:anchor>
                  </w:drawing>
                </mc:Choice>
                <mc:Fallback>
                  <w:pict>
                    <v:rect id="shape_0" ID="Retângulo 12" fillcolor="white" stroked="f" style="position:absolute;margin-left:474.75pt;margin-top:0.05pt;width:69.75pt;height:1.2pt">
                      <w10:wrap type="square"/>
                      <v:fill o:detectmouseclick="t" type="solid" color2="black"/>
                      <v:stroke color="#3465a4" joinstyle="round" endcap="flat"/>
                      <v:textbox>
                        <w:txbxContent>
                          <w:p>
                            <w:pPr>
                              <w:pStyle w:val="Contedodoquadro"/>
                              <w:rPr/>
                            </w:pPr>
                            <w:r>
                              <w:rPr>
                                <w:rFonts w:cs="Arial" w:ascii="Arial" w:hAnsi="Arial"/>
                                <w:color w:val="000000"/>
                                <w:sz w:val="28"/>
                                <w:szCs w:val="28"/>
                              </w:rPr>
                              <w:br/>
                              <w:br/>
                              <w:t>30/05/2001</w:t>
                            </w:r>
                            <w:r>
                              <w:rPr/>
                              <w:t xml:space="preserve"> </w:t>
                            </w:r>
                          </w:p>
                        </w:txbxContent>
                      </v:textbox>
                    </v:rect>
                  </w:pict>
                </mc:Fallback>
              </mc:AlternateContent>
              <mc:AlternateContent>
                <mc:Choice Requires="wps">
                  <w:drawing>
                    <wp:anchor behindDoc="0" distT="0" distB="3" distL="114300" distR="113030" simplePos="0" locked="0" layoutInCell="1" allowOverlap="1" relativeHeight="6">
                      <wp:simplePos x="0" y="0"/>
                      <wp:positionH relativeFrom="column">
                        <wp:posOffset>6029325</wp:posOffset>
                      </wp:positionH>
                      <wp:positionV relativeFrom="paragraph">
                        <wp:posOffset>635</wp:posOffset>
                      </wp:positionV>
                      <wp:extent cx="887095" cy="16510"/>
                      <wp:effectExtent l="0" t="0" r="9525" b="3807"/>
                      <wp:wrapNone/>
                      <wp:docPr id="25" name="Retângulo 13"/>
                      <a:graphic xmlns:a="http://schemas.openxmlformats.org/drawingml/2006/main">
                        <a:graphicData uri="http://schemas.microsoft.com/office/word/2010/wordprocessingShape">
                          <wps:wsp>
                            <wps:cNvSpPr/>
                            <wps:spPr>
                              <a:xfrm>
                                <a:off x="0" y="0"/>
                                <a:ext cx="886320" cy="15840"/>
                              </a:xfrm>
                              <a:prstGeom prst="rect">
                                <a:avLst/>
                              </a:prstGeom>
                              <a:solidFill>
                                <a:srgbClr val="ffffff"/>
                              </a:solidFill>
                              <a:ln>
                                <a:noFill/>
                              </a:ln>
                            </wps:spPr>
                            <wps:style>
                              <a:lnRef idx="0"/>
                              <a:fillRef idx="0"/>
                              <a:effectRef idx="0"/>
                              <a:fontRef idx="minor"/>
                            </wps:style>
                            <wps:txbx>
                              <w:txbxContent>
                                <w:p>
                                  <w:pPr>
                                    <w:pStyle w:val="Contedodoquadro"/>
                                    <w:rPr/>
                                  </w:pPr>
                                  <w:r>
                                    <w:rPr>
                                      <w:rFonts w:cs="Arial" w:ascii="Arial" w:hAnsi="Arial"/>
                                      <w:color w:val="000000"/>
                                      <w:sz w:val="28"/>
                                      <w:szCs w:val="28"/>
                                    </w:rPr>
                                    <w:br/>
                                    <w:br/>
                                    <w:t>30/05/2001</w:t>
                                  </w:r>
                                  <w:r>
                                    <w:rPr/>
                                    <w:t xml:space="preserve"> </w:t>
                                  </w:r>
                                </w:p>
                              </w:txbxContent>
                            </wps:txbx>
                            <wps:bodyPr lIns="0" rIns="0" tIns="0" bIns="0">
                              <a:noAutofit/>
                            </wps:bodyPr>
                          </wps:wsp>
                        </a:graphicData>
                      </a:graphic>
                    </wp:anchor>
                  </w:drawing>
                </mc:Choice>
                <mc:Fallback>
                  <w:pict>
                    <v:rect id="shape_0" ID="Retângulo 13" fillcolor="white" stroked="f" style="position:absolute;margin-left:474.75pt;margin-top:0.05pt;width:69.75pt;height:1.2pt">
                      <w10:wrap type="square"/>
                      <v:fill o:detectmouseclick="t" type="solid" color2="black"/>
                      <v:stroke color="#3465a4" joinstyle="round" endcap="flat"/>
                      <v:textbox>
                        <w:txbxContent>
                          <w:p>
                            <w:pPr>
                              <w:pStyle w:val="Contedodoquadro"/>
                              <w:rPr/>
                            </w:pPr>
                            <w:r>
                              <w:rPr>
                                <w:rFonts w:cs="Arial" w:ascii="Arial" w:hAnsi="Arial"/>
                                <w:color w:val="000000"/>
                                <w:sz w:val="28"/>
                                <w:szCs w:val="28"/>
                              </w:rPr>
                              <w:br/>
                              <w:br/>
                              <w:t>30/05/2001</w:t>
                            </w:r>
                            <w:r>
                              <w:rPr/>
                              <w:t xml:space="preserve"> </w:t>
                            </w:r>
                          </w:p>
                        </w:txbxContent>
                      </v:textbox>
                    </v:rect>
                  </w:pict>
                </mc:Fallback>
              </mc:AlternateContent>
            </w:r>
            <w:r>
              <w:rPr>
                <w:rFonts w:cs="Times New Roman" w:ascii="Times New Roman" w:hAnsi="Times New Roman"/>
                <w:b/>
                <w:bCs/>
              </w:rPr>
              <w:t> </w:t>
            </w:r>
          </w:p>
        </w:tc>
      </w:tr>
      <w:tr>
        <w:trPr>
          <w:trHeight w:val="270" w:hRule="atLeast"/>
        </w:trPr>
        <w:tc>
          <w:tcPr>
            <w:tcW w:w="674" w:type="dxa"/>
            <w:tcBorders>
              <w:top w:val="single" w:sz="8" w:space="0" w:color="00000A"/>
              <w:left w:val="single" w:sz="8" w:space="0" w:color="00000A"/>
              <w:bottom w:val="single" w:sz="8" w:space="0" w:color="00000A"/>
              <w:insideH w:val="single" w:sz="8" w:space="0" w:color="00000A"/>
            </w:tcBorders>
            <w:shd w:color="auto" w:fill="auto" w:val="clear"/>
            <w:tcMar>
              <w:left w:w="3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3945" w:type="dxa"/>
            <w:gridSpan w:val="2"/>
            <w:tcBorders>
              <w:top w:val="single" w:sz="8" w:space="0" w:color="00000A"/>
              <w:bottom w:val="single" w:sz="8" w:space="0" w:color="00000A"/>
              <w:insideH w:val="single" w:sz="8" w:space="0" w:color="00000A"/>
            </w:tcBorders>
            <w:shd w:color="auto" w:fill="auto" w:val="clear"/>
            <w:tcMar>
              <w:left w:w="5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276" w:type="dxa"/>
            <w:gridSpan w:val="2"/>
            <w:tcBorders>
              <w:top w:val="single" w:sz="8" w:space="0" w:color="00000A"/>
              <w:bottom w:val="single" w:sz="8" w:space="0" w:color="00000A"/>
              <w:insideH w:val="single" w:sz="8" w:space="0" w:color="00000A"/>
            </w:tcBorders>
            <w:shd w:color="auto" w:fill="auto" w:val="clear"/>
            <w:tcMar>
              <w:left w:w="5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559" w:type="dxa"/>
            <w:gridSpan w:val="2"/>
            <w:tcBorders>
              <w:top w:val="single" w:sz="8" w:space="0" w:color="00000A"/>
              <w:bottom w:val="single" w:sz="8" w:space="0" w:color="00000A"/>
              <w:insideH w:val="single" w:sz="8" w:space="0" w:color="00000A"/>
            </w:tcBorders>
            <w:shd w:color="auto" w:fill="auto" w:val="clear"/>
            <w:tcMar>
              <w:left w:w="5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418" w:type="dxa"/>
            <w:gridSpan w:val="2"/>
            <w:tcBorders>
              <w:top w:val="single" w:sz="8" w:space="0" w:color="00000A"/>
              <w:bottom w:val="single" w:sz="8" w:space="0" w:color="00000A"/>
              <w:insideH w:val="single" w:sz="8" w:space="0" w:color="00000A"/>
            </w:tcBorders>
            <w:shd w:color="auto" w:fill="auto" w:val="clear"/>
            <w:tcMar>
              <w:left w:w="5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c>
          <w:tcPr>
            <w:tcW w:w="11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0"/>
                <w:szCs w:val="20"/>
              </w:rPr>
            </w:pPr>
            <w:r>
              <w:rPr>
                <w:rFonts w:cs="Times New Roman" w:ascii="Times New Roman" w:hAnsi="Times New Roman"/>
                <w:sz w:val="20"/>
                <w:szCs w:val="20"/>
              </w:rPr>
              <w:t> </w:t>
            </w:r>
          </w:p>
        </w:tc>
      </w:tr>
      <w:tr>
        <w:trPr>
          <w:trHeight w:val="255" w:hRule="atLeast"/>
        </w:trPr>
        <w:tc>
          <w:tcPr>
            <w:tcW w:w="674"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ITEM</w:t>
            </w:r>
          </w:p>
        </w:tc>
        <w:tc>
          <w:tcPr>
            <w:tcW w:w="3945" w:type="dxa"/>
            <w:gridSpan w:val="2"/>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ESPECIFICAÇÃO/DISCRIMINAÇÃO</w:t>
            </w:r>
          </w:p>
        </w:tc>
        <w:tc>
          <w:tcPr>
            <w:tcW w:w="1276" w:type="dxa"/>
            <w:gridSpan w:val="2"/>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UNIDADE</w:t>
            </w:r>
          </w:p>
        </w:tc>
        <w:tc>
          <w:tcPr>
            <w:tcW w:w="1559" w:type="dxa"/>
            <w:gridSpan w:val="2"/>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QUANTIDADE</w:t>
            </w:r>
          </w:p>
        </w:tc>
        <w:tc>
          <w:tcPr>
            <w:tcW w:w="141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 xml:space="preserve">PREÇO   </w:t>
            </w:r>
          </w:p>
        </w:tc>
        <w:tc>
          <w:tcPr>
            <w:tcW w:w="11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 xml:space="preserve">PREÇO   </w:t>
            </w:r>
          </w:p>
        </w:tc>
      </w:tr>
      <w:tr>
        <w:trPr>
          <w:trHeight w:val="255" w:hRule="atLeast"/>
        </w:trPr>
        <w:tc>
          <w:tcPr>
            <w:tcW w:w="674"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3945" w:type="dxa"/>
            <w:gridSpan w:val="2"/>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1276" w:type="dxa"/>
            <w:gridSpan w:val="2"/>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1559" w:type="dxa"/>
            <w:gridSpan w:val="2"/>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141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 xml:space="preserve">UNITÁRIO </w:t>
            </w:r>
          </w:p>
        </w:tc>
        <w:tc>
          <w:tcPr>
            <w:tcW w:w="11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C99" w:val="clear"/>
            <w:tcMar>
              <w:left w:w="30" w:type="dxa"/>
            </w:tcMar>
            <w:vAlign w:val="bottom"/>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 xml:space="preserve"> </w:t>
            </w:r>
            <w:r>
              <w:rPr>
                <w:rFonts w:cs="Times New Roman" w:ascii="Times New Roman" w:hAnsi="Times New Roman"/>
                <w:b/>
                <w:bCs/>
                <w:sz w:val="20"/>
                <w:szCs w:val="20"/>
              </w:rPr>
              <w:t xml:space="preserve">TOTAL   </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CCFFCC" w:val="clear"/>
            <w:tcMar>
              <w:left w:w="3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A</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CC" w:val="clear"/>
            <w:tcMar>
              <w:left w:w="45" w:type="dxa"/>
            </w:tcMar>
          </w:tcPr>
          <w:p>
            <w:pPr>
              <w:pStyle w:val="Normal"/>
              <w:jc w:val="both"/>
              <w:rPr>
                <w:rFonts w:ascii="Times New Roman" w:hAnsi="Times New Roman" w:cs="Times New Roman"/>
                <w:b/>
                <w:b/>
                <w:bCs/>
                <w:sz w:val="22"/>
                <w:szCs w:val="22"/>
              </w:rPr>
            </w:pPr>
            <w:r>
              <w:rPr>
                <w:rFonts w:cs="Times New Roman" w:ascii="Times New Roman" w:hAnsi="Times New Roman"/>
                <w:b/>
                <w:bCs/>
                <w:sz w:val="22"/>
                <w:szCs w:val="22"/>
              </w:rPr>
              <w:t>EQUIPE TÉCNICA</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CC"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CC"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CC" w:val="clear"/>
            <w:tcMar>
              <w:left w:w="45" w:type="dxa"/>
            </w:tcMar>
          </w:tcPr>
          <w:p>
            <w:pPr>
              <w:pStyle w:val="Normal"/>
              <w:jc w:val="right"/>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CCFFCC" w:val="clear"/>
            <w:tcMar>
              <w:left w:w="30" w:type="dxa"/>
            </w:tcMar>
          </w:tcPr>
          <w:p>
            <w:pPr>
              <w:pStyle w:val="Normal"/>
              <w:jc w:val="right"/>
              <w:rPr>
                <w:rFonts w:ascii="Times New Roman" w:hAnsi="Times New Roman" w:cs="Times New Roman"/>
                <w:sz w:val="22"/>
                <w:szCs w:val="22"/>
              </w:rPr>
            </w:pPr>
            <w:r>
              <w:rPr>
                <w:rFonts w:cs="Times New Roman" w:ascii="Times New Roman" w:hAnsi="Times New Roman"/>
                <w:sz w:val="22"/>
                <w:szCs w:val="22"/>
              </w:rPr>
              <w:t> </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FFFF99" w:val="clear"/>
            <w:tcMar>
              <w:left w:w="3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1</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tcPr>
          <w:p>
            <w:pPr>
              <w:pStyle w:val="Normal"/>
              <w:jc w:val="both"/>
              <w:rPr>
                <w:rFonts w:ascii="Times New Roman" w:hAnsi="Times New Roman" w:cs="Times New Roman"/>
                <w:b/>
                <w:b/>
                <w:bCs/>
                <w:sz w:val="22"/>
                <w:szCs w:val="22"/>
              </w:rPr>
            </w:pPr>
            <w:r>
              <w:rPr>
                <w:rFonts w:cs="Times New Roman" w:ascii="Times New Roman" w:hAnsi="Times New Roman"/>
                <w:b/>
                <w:bCs/>
                <w:sz w:val="22"/>
                <w:szCs w:val="22"/>
              </w:rPr>
              <w:t>PESSOAL DE NÍVEL SUPERIOR</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99"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COORDENADOR</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18"/>
                <w:szCs w:val="18"/>
              </w:rPr>
            </w:pPr>
            <w:r>
              <w:rPr>
                <w:rFonts w:cs="Times New Roman" w:ascii="Times New Roman" w:hAnsi="Times New Roman"/>
                <w:sz w:val="18"/>
                <w:szCs w:val="18"/>
              </w:rPr>
              <w:t>Hora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300 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90,00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27.000,00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TURISMÓLOGO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18"/>
                <w:szCs w:val="18"/>
              </w:rPr>
            </w:pPr>
            <w:r>
              <w:rPr>
                <w:rFonts w:cs="Times New Roman" w:ascii="Times New Roman" w:hAnsi="Times New Roman"/>
                <w:sz w:val="18"/>
                <w:szCs w:val="18"/>
              </w:rPr>
              <w:t>Hora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14.000,00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pPr>
            <w:r>
              <w:rPr>
                <w:rFonts w:cs="Times New Roman" w:ascii="Times New Roman" w:hAnsi="Times New Roman"/>
                <w:sz w:val="22"/>
                <w:szCs w:val="22"/>
              </w:rPr>
              <w:t> </w:t>
            </w:r>
            <w:r>
              <w:rPr>
                <w:rFonts w:cs="Times New Roman" w:ascii="Times New Roman" w:hAnsi="Times New Roman"/>
                <w:sz w:val="18"/>
                <w:szCs w:val="18"/>
              </w:rPr>
              <w:t>ARQUITETO URBANISTA</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18"/>
                <w:szCs w:val="18"/>
              </w:rPr>
            </w:pPr>
            <w:r>
              <w:rPr>
                <w:rFonts w:cs="Times New Roman" w:ascii="Times New Roman" w:hAnsi="Times New Roman"/>
                <w:sz w:val="18"/>
                <w:szCs w:val="18"/>
              </w:rPr>
              <w:t>Hora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14.000,00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pPr>
            <w:r>
              <w:rPr>
                <w:rFonts w:cs="Times New Roman" w:ascii="Times New Roman" w:hAnsi="Times New Roman"/>
                <w:sz w:val="22"/>
                <w:szCs w:val="22"/>
              </w:rPr>
              <w:t> </w:t>
            </w:r>
            <w:r>
              <w:rPr>
                <w:rFonts w:cs="Times New Roman" w:ascii="Times New Roman" w:hAnsi="Times New Roman"/>
                <w:sz w:val="18"/>
                <w:szCs w:val="18"/>
              </w:rPr>
              <w:t>ENGENHEIRO AMBIENTAL</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18"/>
                <w:szCs w:val="18"/>
              </w:rPr>
            </w:pPr>
            <w:r>
              <w:rPr>
                <w:rFonts w:cs="Times New Roman" w:ascii="Times New Roman" w:hAnsi="Times New Roman"/>
                <w:sz w:val="18"/>
                <w:szCs w:val="18"/>
              </w:rPr>
              <w:t>Hora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14.000,00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PATRIMÔNIO HISTÓRICO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18"/>
                <w:szCs w:val="18"/>
              </w:rPr>
            </w:pPr>
            <w:r>
              <w:rPr>
                <w:rFonts w:cs="Times New Roman" w:ascii="Times New Roman" w:hAnsi="Times New Roman"/>
                <w:sz w:val="18"/>
                <w:szCs w:val="18"/>
              </w:rPr>
              <w:t>Hora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14.000,00</w:t>
            </w:r>
          </w:p>
        </w:tc>
      </w:tr>
      <w:tr>
        <w:trPr>
          <w:trHeight w:val="33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INFRAESTRUTURA</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pPr>
            <w:r>
              <w:rPr>
                <w:rFonts w:cs="Times New Roman" w:ascii="Times New Roman" w:hAnsi="Times New Roman"/>
                <w:sz w:val="18"/>
                <w:szCs w:val="18"/>
              </w:rPr>
              <w:t>Hora</w:t>
            </w: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200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14.000,00</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FFFF00"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tcPr>
          <w:p>
            <w:pPr>
              <w:pStyle w:val="Normal"/>
              <w:jc w:val="both"/>
              <w:rPr>
                <w:rFonts w:ascii="Times New Roman" w:hAnsi="Times New Roman" w:cs="Times New Roman"/>
                <w:b/>
                <w:b/>
                <w:bCs/>
                <w:sz w:val="22"/>
                <w:szCs w:val="22"/>
              </w:rPr>
            </w:pPr>
            <w:r>
              <w:rPr>
                <w:rFonts w:cs="Times New Roman" w:ascii="Times New Roman" w:hAnsi="Times New Roman"/>
                <w:b/>
                <w:bCs/>
                <w:sz w:val="22"/>
                <w:szCs w:val="22"/>
              </w:rPr>
              <w:t>Subtotal – 1</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00" w:val="clear"/>
            <w:tcMar>
              <w:left w:w="30" w:type="dxa"/>
            </w:tcMar>
            <w:vAlign w:val="bottom"/>
          </w:tcPr>
          <w:p>
            <w:pPr>
              <w:pStyle w:val="Normal"/>
              <w:jc w:val="right"/>
              <w:rPr>
                <w:rFonts w:ascii="Times New Roman" w:hAnsi="Times New Roman" w:cs="Times New Roman"/>
                <w:b/>
                <w:b/>
                <w:bCs/>
                <w:sz w:val="22"/>
                <w:szCs w:val="22"/>
              </w:rPr>
            </w:pPr>
            <w:r>
              <w:rPr>
                <w:rFonts w:cs="Times New Roman" w:ascii="Times New Roman" w:hAnsi="Times New Roman"/>
                <w:b/>
                <w:bCs/>
                <w:sz w:val="22"/>
                <w:szCs w:val="22"/>
              </w:rPr>
              <w:t>97.000,00</w:t>
            </w:r>
          </w:p>
        </w:tc>
      </w:tr>
      <w:tr>
        <w:trPr>
          <w:trHeight w:val="300" w:hRule="atLeast"/>
        </w:trPr>
        <w:tc>
          <w:tcPr>
            <w:tcW w:w="674" w:type="dxa"/>
            <w:tcBorders>
              <w:top w:val="single" w:sz="8" w:space="0" w:color="00000A"/>
              <w:left w:val="single" w:sz="8" w:space="0" w:color="00000A"/>
              <w:bottom w:val="single" w:sz="8" w:space="0" w:color="00000A"/>
              <w:insideH w:val="single" w:sz="8" w:space="0" w:color="00000A"/>
            </w:tcBorders>
            <w:shd w:color="auto" w:fill="FFFF99" w:val="clear"/>
            <w:tcMar>
              <w:left w:w="3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2</w:t>
            </w:r>
          </w:p>
        </w:tc>
        <w:tc>
          <w:tcPr>
            <w:tcW w:w="3945" w:type="dxa"/>
            <w:gridSpan w:val="2"/>
            <w:tcBorders>
              <w:top w:val="single" w:sz="8" w:space="0" w:color="00000A"/>
              <w:bottom w:val="single" w:sz="8" w:space="0" w:color="00000A"/>
              <w:insideH w:val="single" w:sz="8" w:space="0" w:color="00000A"/>
            </w:tcBorders>
            <w:shd w:color="auto" w:fill="FFFF99" w:val="clear"/>
            <w:tcMar>
              <w:left w:w="50" w:type="dxa"/>
            </w:tcMar>
          </w:tcPr>
          <w:p>
            <w:pPr>
              <w:pStyle w:val="Normal"/>
              <w:jc w:val="both"/>
              <w:rPr>
                <w:rFonts w:ascii="Times New Roman" w:hAnsi="Times New Roman" w:cs="Times New Roman"/>
                <w:b/>
                <w:b/>
                <w:bCs/>
                <w:sz w:val="22"/>
                <w:szCs w:val="22"/>
              </w:rPr>
            </w:pPr>
            <w:r>
              <w:rPr>
                <w:rFonts w:cs="Times New Roman" w:ascii="Times New Roman" w:hAnsi="Times New Roman"/>
                <w:b/>
                <w:bCs/>
                <w:sz w:val="22"/>
                <w:szCs w:val="22"/>
              </w:rPr>
              <w:t>PESSOAL AUXILIAR</w:t>
            </w:r>
          </w:p>
        </w:tc>
        <w:tc>
          <w:tcPr>
            <w:tcW w:w="1276"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99"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both"/>
              <w:rPr/>
            </w:pPr>
            <w:r>
              <w:rPr>
                <w:rFonts w:cs="Times New Roman" w:ascii="Times New Roman" w:hAnsi="Times New Roman"/>
                <w:sz w:val="22"/>
                <w:szCs w:val="22"/>
              </w:rPr>
              <w:t> </w:t>
            </w:r>
            <w:r>
              <w:rPr>
                <w:rFonts w:cs="Times New Roman" w:ascii="Times New Roman" w:hAnsi="Times New Roman"/>
                <w:sz w:val="18"/>
                <w:szCs w:val="18"/>
              </w:rPr>
              <w:t>Revisor Texto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mês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1.200,00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1.200,00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both"/>
              <w:rPr/>
            </w:pPr>
            <w:r>
              <w:rPr>
                <w:rFonts w:cs="Times New Roman" w:ascii="Times New Roman" w:hAnsi="Times New Roman"/>
                <w:sz w:val="22"/>
                <w:szCs w:val="22"/>
              </w:rPr>
              <w:t> </w:t>
            </w:r>
            <w:r>
              <w:rPr>
                <w:rFonts w:cs="Times New Roman" w:ascii="Times New Roman" w:hAnsi="Times New Roman"/>
                <w:sz w:val="18"/>
                <w:szCs w:val="18"/>
              </w:rPr>
              <w:t>Auxiliar Técnico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Mês</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1.200,00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3.600,00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both"/>
              <w:rPr/>
            </w:pPr>
            <w:r>
              <w:rPr>
                <w:rFonts w:cs="Times New Roman" w:ascii="Times New Roman" w:hAnsi="Times New Roman"/>
                <w:sz w:val="22"/>
                <w:szCs w:val="22"/>
              </w:rPr>
              <w:t> </w:t>
            </w:r>
            <w:r>
              <w:rPr>
                <w:rFonts w:cs="Times New Roman" w:ascii="Times New Roman" w:hAnsi="Times New Roman"/>
                <w:sz w:val="18"/>
                <w:szCs w:val="18"/>
              </w:rPr>
              <w:t>Digitador</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Mês</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1.200,00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3.600,00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both"/>
              <w:rPr/>
            </w:pPr>
            <w:r>
              <w:rPr>
                <w:rFonts w:cs="Times New Roman" w:ascii="Times New Roman" w:hAnsi="Times New Roman"/>
                <w:sz w:val="22"/>
                <w:szCs w:val="22"/>
              </w:rPr>
              <w:t> </w:t>
            </w:r>
            <w:r>
              <w:rPr>
                <w:rFonts w:cs="Times New Roman" w:ascii="Times New Roman" w:hAnsi="Times New Roman"/>
                <w:sz w:val="18"/>
                <w:szCs w:val="18"/>
              </w:rPr>
              <w:t>Motorista</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diária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90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100,00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9.000,00</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FFFF00"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tcPr>
          <w:p>
            <w:pPr>
              <w:pStyle w:val="Normal"/>
              <w:jc w:val="both"/>
              <w:rPr>
                <w:rFonts w:ascii="Times New Roman" w:hAnsi="Times New Roman" w:cs="Times New Roman"/>
                <w:b/>
                <w:b/>
                <w:bCs/>
                <w:sz w:val="22"/>
                <w:szCs w:val="22"/>
              </w:rPr>
            </w:pPr>
            <w:r>
              <w:rPr>
                <w:rFonts w:cs="Times New Roman" w:ascii="Times New Roman" w:hAnsi="Times New Roman"/>
                <w:b/>
                <w:bCs/>
                <w:sz w:val="22"/>
                <w:szCs w:val="22"/>
              </w:rPr>
              <w:t>Subtotal – 2</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00" w:val="clear"/>
            <w:tcMar>
              <w:left w:w="30" w:type="dxa"/>
            </w:tcMar>
            <w:vAlign w:val="bottom"/>
          </w:tcPr>
          <w:p>
            <w:pPr>
              <w:pStyle w:val="Normal"/>
              <w:jc w:val="right"/>
              <w:rPr>
                <w:rFonts w:ascii="Times New Roman" w:hAnsi="Times New Roman" w:cs="Times New Roman"/>
                <w:sz w:val="22"/>
                <w:szCs w:val="22"/>
              </w:rPr>
            </w:pPr>
            <w:r>
              <w:rPr>
                <w:rFonts w:cs="Times New Roman" w:ascii="Times New Roman" w:hAnsi="Times New Roman"/>
                <w:sz w:val="22"/>
                <w:szCs w:val="22"/>
              </w:rPr>
              <w:t>17.400,00</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CCFFFF"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FF" w:val="clear"/>
            <w:tcMar>
              <w:left w:w="45"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Subtotal A (1+2)</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FF"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FF"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FFFF"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CCFFFF" w:val="clear"/>
            <w:tcMar>
              <w:left w:w="30" w:type="dxa"/>
            </w:tcMar>
            <w:vAlign w:val="bottom"/>
          </w:tcPr>
          <w:p>
            <w:pPr>
              <w:pStyle w:val="Normal"/>
              <w:jc w:val="right"/>
              <w:rPr>
                <w:rFonts w:ascii="Times New Roman" w:hAnsi="Times New Roman" w:cs="Times New Roman"/>
                <w:b/>
                <w:b/>
                <w:bCs/>
                <w:sz w:val="22"/>
                <w:szCs w:val="22"/>
              </w:rPr>
            </w:pPr>
            <w:r>
              <w:rPr>
                <w:rFonts w:cs="Times New Roman" w:ascii="Times New Roman" w:hAnsi="Times New Roman"/>
                <w:b/>
                <w:bCs/>
                <w:sz w:val="22"/>
                <w:szCs w:val="22"/>
              </w:rPr>
              <w:t>114.400,00</w:t>
            </w:r>
          </w:p>
        </w:tc>
      </w:tr>
      <w:tr>
        <w:trPr>
          <w:trHeight w:val="300" w:hRule="atLeast"/>
        </w:trPr>
        <w:tc>
          <w:tcPr>
            <w:tcW w:w="674" w:type="dxa"/>
            <w:tcBorders>
              <w:top w:val="single" w:sz="8" w:space="0" w:color="00000A"/>
              <w:left w:val="single" w:sz="8" w:space="0" w:color="00000A"/>
              <w:bottom w:val="single" w:sz="8" w:space="0" w:color="00000A"/>
              <w:insideH w:val="single" w:sz="8" w:space="0" w:color="00000A"/>
            </w:tcBorders>
            <w:shd w:color="auto" w:fill="FFFF99" w:val="clear"/>
            <w:tcMar>
              <w:left w:w="3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3</w:t>
            </w:r>
          </w:p>
        </w:tc>
        <w:tc>
          <w:tcPr>
            <w:tcW w:w="3945" w:type="dxa"/>
            <w:gridSpan w:val="2"/>
            <w:tcBorders>
              <w:top w:val="single" w:sz="8" w:space="0" w:color="00000A"/>
              <w:bottom w:val="single" w:sz="8" w:space="0" w:color="00000A"/>
              <w:insideH w:val="single" w:sz="8" w:space="0" w:color="00000A"/>
            </w:tcBorders>
            <w:shd w:color="auto" w:fill="FFFF99" w:val="clear"/>
            <w:tcMar>
              <w:left w:w="5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OUTRAS DESPESAS</w:t>
            </w:r>
          </w:p>
        </w:tc>
        <w:tc>
          <w:tcPr>
            <w:tcW w:w="1276"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8" w:space="0" w:color="00000A"/>
              <w:bottom w:val="single" w:sz="8" w:space="0" w:color="00000A"/>
              <w:insideH w:val="single" w:sz="8" w:space="0" w:color="00000A"/>
            </w:tcBorders>
            <w:shd w:color="auto" w:fill="FFFF99" w:val="clear"/>
            <w:tcMar>
              <w:left w:w="5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99"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Locação Veículo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diária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90 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80,00 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7.200,00 </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Combustível</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Litro</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1.000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4,00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4.000,00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Serviços Graficos (impressão)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Unidade</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3.000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00,25</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750,00</w:t>
            </w:r>
          </w:p>
        </w:tc>
      </w:tr>
      <w:tr>
        <w:trPr>
          <w:trHeight w:val="285"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30" w:type="dxa"/>
            </w:tcMar>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rPr/>
            </w:pPr>
            <w:r>
              <w:rPr>
                <w:rFonts w:cs="Times New Roman" w:ascii="Times New Roman" w:hAnsi="Times New Roman"/>
                <w:sz w:val="22"/>
                <w:szCs w:val="22"/>
              </w:rPr>
              <w:t> </w:t>
            </w:r>
            <w:r>
              <w:rPr>
                <w:rFonts w:cs="Times New Roman" w:ascii="Times New Roman" w:hAnsi="Times New Roman"/>
                <w:sz w:val="18"/>
                <w:szCs w:val="18"/>
              </w:rPr>
              <w:t>Hospedagem e Deslocamento</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diária</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jc w:val="center"/>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10</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350,00</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r>
              <w:rPr>
                <w:rFonts w:cs="Times New Roman" w:ascii="Times New Roman" w:hAnsi="Times New Roman"/>
                <w:sz w:val="22"/>
                <w:szCs w:val="22"/>
              </w:rPr>
              <w:t>3.500,00</w:t>
            </w:r>
          </w:p>
        </w:tc>
      </w:tr>
      <w:tr>
        <w:trPr>
          <w:trHeight w:val="300" w:hRule="atLeast"/>
        </w:trPr>
        <w:tc>
          <w:tcPr>
            <w:tcW w:w="67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FFFF00" w:val="clear"/>
            <w:tcMar>
              <w:left w:w="30"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394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Subtotal – 3</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00"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00" w:val="clear"/>
            <w:tcMar>
              <w:left w:w="30" w:type="dxa"/>
            </w:tcMar>
            <w:vAlign w:val="bottom"/>
          </w:tcPr>
          <w:p>
            <w:pPr>
              <w:pStyle w:val="Normal"/>
              <w:jc w:val="center"/>
              <w:rPr>
                <w:rFonts w:ascii="Times New Roman" w:hAnsi="Times New Roman" w:cs="Times New Roman"/>
                <w:sz w:val="22"/>
                <w:szCs w:val="22"/>
              </w:rPr>
            </w:pPr>
            <w:r>
              <w:rPr>
                <w:rFonts w:cs="Times New Roman" w:ascii="Times New Roman" w:hAnsi="Times New Roman"/>
                <w:sz w:val="22"/>
                <w:szCs w:val="22"/>
              </w:rPr>
              <w:t>15.450,00</w:t>
            </w:r>
          </w:p>
        </w:tc>
      </w:tr>
      <w:tr>
        <w:trPr>
          <w:trHeight w:val="285" w:hRule="atLeast"/>
        </w:trPr>
        <w:tc>
          <w:tcPr>
            <w:tcW w:w="4618" w:type="dxa"/>
            <w:gridSpan w:val="2"/>
            <w:tcBorders>
              <w:top w:val="single" w:sz="4" w:space="0" w:color="00000A"/>
              <w:left w:val="single" w:sz="8" w:space="0" w:color="00000A"/>
              <w:bottom w:val="single" w:sz="4" w:space="0" w:color="00000A"/>
              <w:right w:val="single" w:sz="4" w:space="0" w:color="000001"/>
              <w:insideH w:val="single" w:sz="4" w:space="0" w:color="00000A"/>
              <w:insideV w:val="single" w:sz="4" w:space="0" w:color="000001"/>
            </w:tcBorders>
            <w:shd w:color="auto" w:fill="FFFF99" w:val="clear"/>
            <w:tcMar>
              <w:left w:w="30" w:type="dxa"/>
            </w:tcMar>
          </w:tcPr>
          <w:p>
            <w:pPr>
              <w:pStyle w:val="Normal"/>
              <w:rPr>
                <w:rFonts w:ascii="Times New Roman" w:hAnsi="Times New Roman" w:cs="Times New Roman"/>
                <w:b/>
                <w:b/>
                <w:bCs/>
                <w:sz w:val="22"/>
                <w:szCs w:val="22"/>
              </w:rPr>
            </w:pPr>
            <w:r>
              <w:rPr>
                <w:rFonts w:cs="Times New Roman" w:ascii="Times New Roman" w:hAnsi="Times New Roman"/>
                <w:b/>
                <w:bCs/>
                <w:sz w:val="22"/>
                <w:szCs w:val="22"/>
              </w:rPr>
              <w:t>Subtotal A (1=2) + 3</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99" w:val="clear"/>
            <w:tcMar>
              <w:left w:w="45" w:type="dxa"/>
            </w:tcMar>
            <w:vAlign w:val="bottom"/>
          </w:tcPr>
          <w:p>
            <w:pPr>
              <w:pStyle w:val="Normal"/>
              <w:rPr>
                <w:rFonts w:ascii="Times New Roman" w:hAnsi="Times New Roman" w:cs="Times New Roman"/>
                <w:sz w:val="22"/>
                <w:szCs w:val="22"/>
              </w:rPr>
            </w:pPr>
            <w:r>
              <w:rPr>
                <w:rFonts w:cs="Times New Roman" w:ascii="Times New Roman" w:hAnsi="Times New Roman"/>
                <w:sz w:val="22"/>
                <w:szCs w:val="22"/>
              </w:rPr>
              <w:t> </w:t>
            </w:r>
          </w:p>
        </w:tc>
        <w:tc>
          <w:tcPr>
            <w:tcW w:w="113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99" w:val="clear"/>
            <w:tcMar>
              <w:left w:w="30" w:type="dxa"/>
            </w:tcMar>
            <w:vAlign w:val="bottom"/>
          </w:tcPr>
          <w:p>
            <w:pPr>
              <w:pStyle w:val="Normal"/>
              <w:jc w:val="right"/>
              <w:rPr>
                <w:rFonts w:ascii="Times New Roman" w:hAnsi="Times New Roman" w:cs="Times New Roman"/>
                <w:sz w:val="22"/>
                <w:szCs w:val="22"/>
              </w:rPr>
            </w:pPr>
            <w:r>
              <w:rPr>
                <w:rFonts w:cs="Times New Roman" w:ascii="Times New Roman" w:hAnsi="Times New Roman"/>
                <w:sz w:val="22"/>
                <w:szCs w:val="22"/>
              </w:rPr>
              <w:t>129.850,00</w:t>
            </w:r>
          </w:p>
        </w:tc>
      </w:tr>
      <w:tr>
        <w:trPr>
          <w:trHeight w:val="315" w:hRule="atLeast"/>
        </w:trPr>
        <w:tc>
          <w:tcPr>
            <w:tcW w:w="4618" w:type="dxa"/>
            <w:gridSpan w:val="2"/>
            <w:tcBorders>
              <w:top w:val="single" w:sz="4" w:space="0" w:color="00000A"/>
              <w:left w:val="single" w:sz="8" w:space="0" w:color="00000A"/>
              <w:bottom w:val="single" w:sz="8" w:space="0" w:color="00000A"/>
              <w:insideH w:val="single" w:sz="8" w:space="0" w:color="00000A"/>
            </w:tcBorders>
            <w:shd w:color="auto" w:fill="CCFFFF" w:val="clear"/>
            <w:tcMar>
              <w:left w:w="30" w:type="dxa"/>
            </w:tcMar>
            <w:vAlign w:val="bottom"/>
          </w:tcPr>
          <w:p>
            <w:pPr>
              <w:pStyle w:val="Normal"/>
              <w:jc w:val="center"/>
              <w:rPr>
                <w:rFonts w:ascii="Times New Roman" w:hAnsi="Times New Roman" w:cs="Times New Roman"/>
                <w:b/>
                <w:b/>
                <w:bCs/>
                <w:sz w:val="22"/>
                <w:szCs w:val="22"/>
              </w:rPr>
            </w:pPr>
            <w:r>
              <w:rPr>
                <w:rFonts w:cs="Times New Roman" w:ascii="Times New Roman" w:hAnsi="Times New Roman"/>
                <w:b/>
                <w:bCs/>
                <w:sz w:val="22"/>
                <w:szCs w:val="22"/>
              </w:rPr>
              <w:t>TOTAL GERAL</w:t>
            </w:r>
          </w:p>
        </w:tc>
        <w:tc>
          <w:tcPr>
            <w:tcW w:w="1276" w:type="dxa"/>
            <w:gridSpan w:val="2"/>
            <w:tcBorders>
              <w:top w:val="single" w:sz="8" w:space="0" w:color="00000A"/>
              <w:bottom w:val="single" w:sz="8" w:space="0" w:color="00000A"/>
              <w:insideH w:val="single" w:sz="8" w:space="0" w:color="00000A"/>
            </w:tcBorders>
            <w:shd w:color="auto" w:fill="CCFFFF" w:val="clear"/>
            <w:tcMar>
              <w:left w:w="50" w:type="dxa"/>
            </w:tcMar>
            <w:vAlign w:val="bottom"/>
          </w:tcPr>
          <w:p>
            <w:pPr>
              <w:pStyle w:val="Normal"/>
              <w:rPr>
                <w:rFonts w:ascii="Times New Roman" w:hAnsi="Times New Roman" w:cs="Times New Roman"/>
                <w:b/>
                <w:b/>
                <w:bCs/>
                <w:sz w:val="22"/>
                <w:szCs w:val="22"/>
              </w:rPr>
            </w:pPr>
            <w:r>
              <w:rPr>
                <w:rFonts w:cs="Times New Roman" w:ascii="Times New Roman" w:hAnsi="Times New Roman"/>
                <w:b/>
                <w:bCs/>
                <w:sz w:val="22"/>
                <w:szCs w:val="22"/>
              </w:rPr>
              <w:t> </w:t>
            </w:r>
          </w:p>
        </w:tc>
        <w:tc>
          <w:tcPr>
            <w:tcW w:w="1559" w:type="dxa"/>
            <w:gridSpan w:val="2"/>
            <w:tcBorders>
              <w:top w:val="single" w:sz="8" w:space="0" w:color="00000A"/>
              <w:bottom w:val="single" w:sz="8" w:space="0" w:color="00000A"/>
              <w:insideH w:val="single" w:sz="8" w:space="0" w:color="00000A"/>
            </w:tcBorders>
            <w:shd w:color="auto" w:fill="CCFFFF" w:val="clear"/>
            <w:tcMar>
              <w:left w:w="50" w:type="dxa"/>
            </w:tcMar>
            <w:vAlign w:val="bottom"/>
          </w:tcPr>
          <w:p>
            <w:pPr>
              <w:pStyle w:val="Normal"/>
              <w:rPr>
                <w:rFonts w:ascii="Times New Roman" w:hAnsi="Times New Roman" w:cs="Times New Roman"/>
                <w:b/>
                <w:b/>
                <w:bCs/>
                <w:sz w:val="22"/>
                <w:szCs w:val="22"/>
              </w:rPr>
            </w:pPr>
            <w:r>
              <w:rPr>
                <w:rFonts w:cs="Times New Roman" w:ascii="Times New Roman" w:hAnsi="Times New Roman"/>
                <w:b/>
                <w:bCs/>
                <w:sz w:val="22"/>
                <w:szCs w:val="22"/>
              </w:rPr>
              <w:t> </w:t>
            </w:r>
          </w:p>
        </w:tc>
        <w:tc>
          <w:tcPr>
            <w:tcW w:w="1418" w:type="dxa"/>
            <w:gridSpan w:val="2"/>
            <w:tcBorders>
              <w:top w:val="single" w:sz="8" w:space="0" w:color="00000A"/>
              <w:bottom w:val="single" w:sz="8" w:space="0" w:color="00000A"/>
              <w:insideH w:val="single" w:sz="8" w:space="0" w:color="00000A"/>
            </w:tcBorders>
            <w:shd w:color="auto" w:fill="CCFFFF" w:val="clear"/>
            <w:tcMar>
              <w:left w:w="50" w:type="dxa"/>
            </w:tcMar>
            <w:vAlign w:val="bottom"/>
          </w:tcPr>
          <w:p>
            <w:pPr>
              <w:pStyle w:val="Normal"/>
              <w:rPr>
                <w:rFonts w:ascii="Times New Roman" w:hAnsi="Times New Roman" w:cs="Times New Roman"/>
                <w:b/>
                <w:b/>
                <w:bCs/>
                <w:sz w:val="22"/>
                <w:szCs w:val="22"/>
              </w:rPr>
            </w:pPr>
            <w:r>
              <w:rPr>
                <w:rFonts w:cs="Times New Roman" w:ascii="Times New Roman" w:hAnsi="Times New Roman"/>
                <w:b/>
                <w:bCs/>
                <w:sz w:val="22"/>
                <w:szCs w:val="22"/>
              </w:rPr>
              <w:t> </w:t>
            </w:r>
          </w:p>
        </w:tc>
        <w:tc>
          <w:tcPr>
            <w:tcW w:w="11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CCFFFF" w:val="clear"/>
            <w:tcMar>
              <w:left w:w="30" w:type="dxa"/>
            </w:tcMar>
            <w:vAlign w:val="bottom"/>
          </w:tcPr>
          <w:p>
            <w:pPr>
              <w:pStyle w:val="Normal"/>
              <w:jc w:val="right"/>
              <w:rPr>
                <w:rFonts w:ascii="Times New Roman" w:hAnsi="Times New Roman" w:cs="Times New Roman"/>
                <w:b/>
                <w:b/>
                <w:bCs/>
                <w:sz w:val="22"/>
                <w:szCs w:val="22"/>
              </w:rPr>
            </w:pPr>
            <w:r>
              <w:rPr>
                <w:rFonts w:cs="Times New Roman" w:ascii="Times New Roman" w:hAnsi="Times New Roman"/>
                <w:b/>
                <w:bCs/>
                <w:sz w:val="22"/>
                <w:szCs w:val="22"/>
              </w:rPr>
              <w:t>129.850,00</w:t>
            </w:r>
          </w:p>
        </w:tc>
      </w:tr>
      <w:tr>
        <w:trPr>
          <w:trHeight w:val="255" w:hRule="atLeast"/>
        </w:trPr>
        <w:tc>
          <w:tcPr>
            <w:tcW w:w="10005" w:type="dxa"/>
            <w:gridSpan w:val="10"/>
            <w:tcBorders>
              <w:top w:val="single" w:sz="8" w:space="0" w:color="00000A"/>
              <w:left w:val="single" w:sz="8" w:space="0" w:color="00000A"/>
              <w:bottom w:val="dotted" w:sz="4" w:space="0" w:color="00000A"/>
              <w:insideH w:val="dotted" w:sz="4" w:space="0" w:color="00000A"/>
            </w:tcBorders>
            <w:shd w:color="auto" w:fill="auto" w:val="clear"/>
            <w:tcMar>
              <w:left w:w="30" w:type="dxa"/>
            </w:tcMar>
            <w:vAlign w:val="bottom"/>
          </w:tcPr>
          <w:p>
            <w:pPr>
              <w:pStyle w:val="Normal"/>
              <w:rPr>
                <w:rFonts w:ascii="Times New Roman" w:hAnsi="Times New Roman" w:cs="Times New Roman"/>
                <w:b/>
                <w:b/>
                <w:bCs/>
                <w:sz w:val="20"/>
                <w:szCs w:val="20"/>
              </w:rPr>
            </w:pPr>
            <w:r>
              <w:rPr>
                <w:rFonts w:cs="Times New Roman" w:ascii="Times New Roman" w:hAnsi="Times New Roman"/>
                <w:b/>
                <w:bCs/>
                <w:sz w:val="20"/>
                <w:szCs w:val="20"/>
              </w:rPr>
              <w:t xml:space="preserve">Fonte: </w:t>
            </w:r>
          </w:p>
        </w:tc>
      </w:tr>
      <w:tr>
        <w:trPr>
          <w:trHeight w:val="255" w:hRule="atLeast"/>
        </w:trPr>
        <w:tc>
          <w:tcPr>
            <w:tcW w:w="4618" w:type="dxa"/>
            <w:gridSpan w:val="2"/>
            <w:vMerge w:val="restart"/>
            <w:tcBorders>
              <w:top w:val="dotted" w:sz="4" w:space="0" w:color="00000A"/>
              <w:left w:val="single" w:sz="8" w:space="0" w:color="00000A"/>
              <w:bottom w:val="dotted" w:sz="4" w:space="0" w:color="00000A"/>
              <w:right w:val="double" w:sz="6" w:space="0" w:color="000001"/>
              <w:insideH w:val="dotted" w:sz="4" w:space="0" w:color="00000A"/>
              <w:insideV w:val="double" w:sz="6" w:space="0" w:color="000001"/>
            </w:tcBorders>
            <w:shd w:color="auto" w:fill="auto" w:val="clear"/>
            <w:tcMar>
              <w:left w:w="30" w:type="dxa"/>
            </w:tcMar>
            <w:vAlign w:val="center"/>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Responsável pelo Orçamento Estimativo</w:t>
            </w:r>
          </w:p>
        </w:tc>
        <w:tc>
          <w:tcPr>
            <w:tcW w:w="5387" w:type="dxa"/>
            <w:gridSpan w:val="8"/>
            <w:tcBorders>
              <w:top w:val="dotted" w:sz="4" w:space="0" w:color="00000A"/>
              <w:left w:val="double" w:sz="6" w:space="0" w:color="00000A"/>
              <w:bottom w:val="dotted" w:sz="4" w:space="0" w:color="00000A"/>
              <w:right w:val="single" w:sz="8" w:space="0" w:color="000001"/>
              <w:insideH w:val="dotted" w:sz="4" w:space="0" w:color="00000A"/>
              <w:insideV w:val="single" w:sz="8" w:space="0" w:color="000001"/>
            </w:tcBorders>
            <w:shd w:color="auto" w:fill="auto" w:val="clear"/>
            <w:tcMar>
              <w:left w:w="-21" w:type="dxa"/>
            </w:tcMar>
            <w:vAlign w:val="bottom"/>
          </w:tcPr>
          <w:p>
            <w:pPr>
              <w:pStyle w:val="Normal"/>
              <w:jc w:val="center"/>
              <w:rPr>
                <w:rFonts w:ascii="Times New Roman" w:hAnsi="Times New Roman" w:cs="Times New Roman"/>
                <w:b/>
                <w:b/>
                <w:bCs/>
                <w:sz w:val="20"/>
                <w:szCs w:val="20"/>
              </w:rPr>
            </w:pPr>
            <w:r>
              <w:rPr>
                <w:rFonts w:cs="Times New Roman" w:ascii="Times New Roman" w:hAnsi="Times New Roman"/>
                <w:b/>
                <w:bCs/>
                <w:sz w:val="20"/>
                <w:szCs w:val="20"/>
              </w:rPr>
              <w:t> </w:t>
            </w:r>
          </w:p>
        </w:tc>
      </w:tr>
      <w:tr>
        <w:trPr>
          <w:trHeight w:val="225" w:hRule="atLeast"/>
        </w:trPr>
        <w:tc>
          <w:tcPr>
            <w:tcW w:w="4618" w:type="dxa"/>
            <w:gridSpan w:val="2"/>
            <w:vMerge w:val="continue"/>
            <w:tcBorders>
              <w:top w:val="dotted" w:sz="4" w:space="0" w:color="00000A"/>
              <w:left w:val="single" w:sz="8" w:space="0" w:color="00000A"/>
              <w:bottom w:val="dotted" w:sz="4" w:space="0" w:color="00000A"/>
              <w:right w:val="double" w:sz="6" w:space="0" w:color="000001"/>
              <w:insideH w:val="dotted" w:sz="4" w:space="0" w:color="00000A"/>
              <w:insideV w:val="double" w:sz="6" w:space="0" w:color="000001"/>
            </w:tcBorders>
            <w:shd w:color="auto" w:fill="auto"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5387" w:type="dxa"/>
            <w:gridSpan w:val="8"/>
            <w:tcBorders>
              <w:top w:val="dotted" w:sz="4" w:space="0" w:color="00000A"/>
              <w:left w:val="double" w:sz="6" w:space="0" w:color="00000A"/>
              <w:bottom w:val="dotted" w:sz="4" w:space="0" w:color="00000A"/>
              <w:right w:val="single" w:sz="8" w:space="0" w:color="000001"/>
              <w:insideH w:val="dotted" w:sz="4" w:space="0" w:color="00000A"/>
              <w:insideV w:val="single" w:sz="8" w:space="0" w:color="000001"/>
            </w:tcBorders>
            <w:shd w:color="auto" w:fill="auto" w:val="clear"/>
            <w:tcMar>
              <w:left w:w="-21" w:type="dxa"/>
            </w:tcMar>
            <w:vAlign w:val="bottom"/>
          </w:tcPr>
          <w:p>
            <w:pPr>
              <w:pStyle w:val="Normal"/>
              <w:rPr/>
            </w:pPr>
            <w:r>
              <w:rPr>
                <w:rFonts w:cs="Times New Roman" w:ascii="Times New Roman" w:hAnsi="Times New Roman"/>
                <w:b/>
                <w:bCs/>
                <w:sz w:val="20"/>
                <w:szCs w:val="20"/>
              </w:rPr>
              <w:t>Cargo:</w:t>
            </w:r>
            <w:r>
              <w:rPr>
                <w:rFonts w:cs="Times New Roman" w:ascii="Times New Roman" w:hAnsi="Times New Roman"/>
                <w:sz w:val="20"/>
                <w:szCs w:val="20"/>
              </w:rPr>
              <w:t xml:space="preserve"> </w:t>
            </w:r>
          </w:p>
        </w:tc>
      </w:tr>
      <w:tr>
        <w:trPr>
          <w:trHeight w:val="510" w:hRule="atLeast"/>
        </w:trPr>
        <w:tc>
          <w:tcPr>
            <w:tcW w:w="4618" w:type="dxa"/>
            <w:gridSpan w:val="2"/>
            <w:tcBorders>
              <w:top w:val="dotted" w:sz="4" w:space="0" w:color="00000A"/>
              <w:left w:val="single" w:sz="8" w:space="0" w:color="00000A"/>
              <w:bottom w:val="single" w:sz="8" w:space="0" w:color="000001"/>
              <w:right w:val="double" w:sz="6" w:space="0" w:color="000001"/>
              <w:insideH w:val="single" w:sz="8" w:space="0" w:color="000001"/>
              <w:insideV w:val="double" w:sz="6" w:space="0" w:color="000001"/>
            </w:tcBorders>
            <w:shd w:color="auto" w:fill="auto" w:val="clear"/>
            <w:tcMar>
              <w:left w:w="30" w:type="dxa"/>
            </w:tcMar>
            <w:vAlign w:val="center"/>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c>
          <w:tcPr>
            <w:tcW w:w="5387" w:type="dxa"/>
            <w:gridSpan w:val="8"/>
            <w:tcBorders>
              <w:top w:val="dotted" w:sz="4" w:space="0" w:color="00000A"/>
              <w:left w:val="double" w:sz="6" w:space="0" w:color="00000A"/>
              <w:bottom w:val="single" w:sz="8" w:space="0" w:color="00000A"/>
              <w:right w:val="single" w:sz="8" w:space="0" w:color="000001"/>
              <w:insideH w:val="single" w:sz="8" w:space="0" w:color="00000A"/>
              <w:insideV w:val="single" w:sz="8" w:space="0" w:color="000001"/>
            </w:tcBorders>
            <w:shd w:color="auto" w:fill="auto" w:val="clear"/>
            <w:tcMar>
              <w:left w:w="-21" w:type="dxa"/>
            </w:tcMar>
            <w:vAlign w:val="bottom"/>
          </w:tcPr>
          <w:p>
            <w:pPr>
              <w:pStyle w:val="Normal"/>
              <w:rPr>
                <w:rFonts w:ascii="Times New Roman" w:hAnsi="Times New Roman" w:cs="Times New Roman"/>
                <w:b/>
                <w:b/>
                <w:bCs/>
                <w:sz w:val="20"/>
                <w:szCs w:val="20"/>
              </w:rPr>
            </w:pPr>
            <w:r>
              <w:rPr>
                <w:rFonts w:cs="Times New Roman" w:ascii="Times New Roman" w:hAnsi="Times New Roman"/>
                <w:b/>
                <w:bCs/>
                <w:sz w:val="20"/>
                <w:szCs w:val="20"/>
              </w:rPr>
            </w:r>
          </w:p>
        </w:tc>
      </w:tr>
    </w:tbl>
    <w:p>
      <w:pPr>
        <w:pStyle w:val="Standard"/>
        <w:jc w:val="both"/>
        <w:rPr/>
      </w:pPr>
      <w:r>
        <w:rPr/>
      </w:r>
    </w:p>
    <w:sectPr>
      <w:type w:val="nextPage"/>
      <w:pgSz w:w="11906" w:h="16838"/>
      <w:pgMar w:left="1701" w:right="1701" w:header="0" w:top="1417" w:footer="0" w:bottom="1417"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Narrow">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decimal"/>
      <w:lvlText w:val="%1."/>
      <w:lvlJc w:val="left"/>
      <w:pPr>
        <w:ind w:left="360" w:hanging="360"/>
      </w:pPr>
    </w:lvl>
    <w:lvl w:ilvl="1">
      <w:start w:val="1"/>
      <w:numFmt w:val="decimal"/>
      <w:lvlText w:val="%1.%2."/>
      <w:lvlJc w:val="left"/>
      <w:pPr>
        <w:ind w:left="989" w:hanging="705"/>
      </w:pPr>
      <w:rPr>
        <w:sz w:val="24"/>
        <w:b/>
        <w:rFonts w:ascii="Times New Roman" w:hAnsi="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bullet"/>
      <w:lvlText w:val=""/>
      <w:lvlJc w:val="left"/>
      <w:pPr>
        <w:ind w:left="720" w:hanging="360"/>
      </w:pPr>
      <w:rPr>
        <w:rFonts w:ascii="Wingdings" w:hAnsi="Wingdings" w:cs="Wingdings" w:hint="default"/>
        <w:sz w:val="1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decimal"/>
      <w:lvlText w:val="%1."/>
      <w:lvlJc w:val="left"/>
      <w:pPr>
        <w:ind w:left="360" w:hanging="360"/>
      </w:pPr>
      <w:rPr>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rPr>
        <w:sz w:val="24"/>
        <w:b/>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720" w:hanging="360"/>
      </w:pPr>
    </w:lvl>
    <w:lvl w:ilvl="1">
      <w:start w:val="1"/>
      <w:numFmt w:val="bullet"/>
      <w:lvlText w:val=""/>
      <w:lvlJc w:val="left"/>
      <w:pPr>
        <w:ind w:left="1353" w:hanging="360"/>
      </w:pPr>
      <w:rPr>
        <w:rFonts w:ascii="Symbol" w:hAnsi="Symbol" w:cs="Symbol" w:hint="default"/>
        <w:sz w:val="24"/>
        <w:b/>
        <w:rFonts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lowerLetter"/>
      <w:lvlText w:val="%1)"/>
      <w:lvlJc w:val="left"/>
      <w:pPr>
        <w:ind w:left="720" w:hanging="360"/>
      </w:pPr>
      <w:rPr>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lowerLetter"/>
      <w:lvlText w:val="%1)"/>
      <w:lvlJc w:val="left"/>
      <w:pPr>
        <w:ind w:left="1440" w:hanging="360"/>
      </w:pPr>
      <w:rPr>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bullet"/>
      <w:lvlText w:val=""/>
      <w:lvlJc w:val="left"/>
      <w:pPr>
        <w:ind w:left="720" w:hanging="360"/>
      </w:pPr>
      <w:rPr>
        <w:rFonts w:ascii="Symbol" w:hAnsi="Symbol" w:cs="Symbol" w:hint="default"/>
        <w:sz w:val="20"/>
        <w:szCs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defaultTabStop w:val="709"/>
  <w:autoHyphenation w:val="false"/>
  <w:compat>
    <w:compatSetting w:name="compatibilityMode" w:uri="http://schemas.microsoft.com/office/word" w:val="15"/>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pt-BR" w:eastAsia="zh-CN" w:bidi="hi-IN"/>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jc w:val="left"/>
      <w:textAlignment w:val="baseline"/>
    </w:pPr>
    <w:rPr>
      <w:rFonts w:ascii="Liberation Serif" w:hAnsi="Liberation Serif" w:eastAsia="SimSun" w:cs="Mangal"/>
      <w:color w:val="00000A"/>
      <w:sz w:val="24"/>
      <w:szCs w:val="24"/>
      <w:lang w:val="pt-BR" w:eastAsia="zh-CN" w:bidi="hi-IN"/>
    </w:rPr>
  </w:style>
  <w:style w:type="paragraph" w:styleId="Ttulo1">
    <w:name w:val="Heading 1"/>
    <w:basedOn w:val="Normal"/>
    <w:next w:val="Normal"/>
    <w:qFormat/>
    <w:pPr>
      <w:keepNext/>
      <w:suppressAutoHyphens w:val="false"/>
      <w:textAlignment w:val="auto"/>
      <w:outlineLvl w:val="0"/>
    </w:pPr>
    <w:rPr>
      <w:rFonts w:ascii="Arial" w:hAnsi="Arial" w:eastAsia="Times New Roman" w:cs="Arial"/>
      <w:b/>
      <w:color w:val="00000A"/>
      <w:szCs w:val="20"/>
      <w:lang w:eastAsia="pt-BR" w:bidi="ar-SA"/>
    </w:rPr>
  </w:style>
  <w:style w:type="character" w:styleId="DefaultParagraphFont" w:default="1">
    <w:name w:val="Default Paragraph Font"/>
    <w:uiPriority w:val="1"/>
    <w:semiHidden/>
    <w:unhideWhenUsed/>
    <w:qFormat/>
    <w:rPr/>
  </w:style>
  <w:style w:type="character" w:styleId="Strong">
    <w:name w:val="Strong"/>
    <w:basedOn w:val="DefaultParagraphFont"/>
    <w:qFormat/>
    <w:rPr>
      <w:b/>
      <w:bCs/>
    </w:rPr>
  </w:style>
  <w:style w:type="character" w:styleId="Ttulo1Char" w:customStyle="1">
    <w:name w:val="Título 1 Char"/>
    <w:basedOn w:val="DefaultParagraphFont"/>
    <w:qFormat/>
    <w:rPr>
      <w:rFonts w:ascii="Arial" w:hAnsi="Arial" w:eastAsia="Times New Roman" w:cs="Arial"/>
      <w:b/>
      <w:color w:val="00000A"/>
      <w:szCs w:val="20"/>
      <w:lang w:eastAsia="pt-BR" w:bidi="ar-SA"/>
    </w:rPr>
  </w:style>
  <w:style w:type="character" w:styleId="CorpodetextoChar" w:customStyle="1">
    <w:name w:val="Corpo de texto Char"/>
    <w:qFormat/>
    <w:rPr>
      <w:rFonts w:ascii="Arial Narrow" w:hAnsi="Arial Narrow" w:eastAsia="Times New Roman" w:cs="Times New Roman"/>
      <w:i/>
    </w:rPr>
  </w:style>
  <w:style w:type="character" w:styleId="Recuodecorpodetexto2Char" w:customStyle="1">
    <w:name w:val="Recuo de corpo de texto 2 Char"/>
    <w:qFormat/>
    <w:rPr>
      <w:rFonts w:ascii="Times New Roman" w:hAnsi="Times New Roman" w:eastAsia="Times New Roman" w:cs="Times New Roman"/>
    </w:rPr>
  </w:style>
  <w:style w:type="character" w:styleId="Corpodetexto2Char" w:customStyle="1">
    <w:name w:val="Corpo de texto 2 Char"/>
    <w:qFormat/>
    <w:rPr>
      <w:rFonts w:ascii="Times New Roman" w:hAnsi="Times New Roman" w:eastAsia="Times New Roman" w:cs="Times New Roman"/>
    </w:rPr>
  </w:style>
  <w:style w:type="character" w:styleId="CorpodetextoChar1" w:customStyle="1">
    <w:name w:val="Corpo de texto Char1"/>
    <w:basedOn w:val="DefaultParagraphFont"/>
    <w:qFormat/>
    <w:rPr>
      <w:szCs w:val="21"/>
    </w:rPr>
  </w:style>
  <w:style w:type="character" w:styleId="Recuodecorpodetexto2Char1" w:customStyle="1">
    <w:name w:val="Recuo de corpo de texto 2 Char1"/>
    <w:basedOn w:val="DefaultParagraphFont"/>
    <w:qFormat/>
    <w:rPr>
      <w:szCs w:val="21"/>
    </w:rPr>
  </w:style>
  <w:style w:type="character" w:styleId="Corpodetexto2Char1" w:customStyle="1">
    <w:name w:val="Corpo de texto 2 Char1"/>
    <w:basedOn w:val="DefaultParagraphFont"/>
    <w:qFormat/>
    <w:rPr>
      <w:szCs w:val="21"/>
    </w:rPr>
  </w:style>
  <w:style w:type="character" w:styleId="Recuodecorpodetexto3Char" w:customStyle="1">
    <w:name w:val="Recuo de corpo de texto 3 Char"/>
    <w:basedOn w:val="DefaultParagraphFont"/>
    <w:qFormat/>
    <w:rPr>
      <w:rFonts w:ascii="Times New Roman" w:hAnsi="Times New Roman" w:eastAsia="Times New Roman" w:cs="Times New Roman"/>
      <w:color w:val="00000A"/>
      <w:sz w:val="16"/>
      <w:szCs w:val="16"/>
      <w:lang w:eastAsia="pt-BR" w:bidi="ar-SA"/>
    </w:rPr>
  </w:style>
  <w:style w:type="character" w:styleId="RecuodecorpodetextoChar" w:customStyle="1">
    <w:name w:val="Recuo de corpo de texto Char"/>
    <w:basedOn w:val="DefaultParagraphFont"/>
    <w:qFormat/>
    <w:rPr>
      <w:szCs w:val="21"/>
    </w:rPr>
  </w:style>
  <w:style w:type="character" w:styleId="CabealhoChar" w:customStyle="1">
    <w:name w:val="Cabeçalho Char"/>
    <w:basedOn w:val="DefaultParagraphFont"/>
    <w:qFormat/>
    <w:rPr>
      <w:szCs w:val="21"/>
    </w:rPr>
  </w:style>
  <w:style w:type="character" w:styleId="RodapChar" w:customStyle="1">
    <w:name w:val="Rodapé Char"/>
    <w:basedOn w:val="DefaultParagraphFont"/>
    <w:qFormat/>
    <w:rPr>
      <w:szCs w:val="21"/>
    </w:rPr>
  </w:style>
  <w:style w:type="character" w:styleId="ListLabel1">
    <w:name w:val="ListLabel 1"/>
    <w:qFormat/>
    <w:rPr>
      <w:rFonts w:ascii="Times New Roman" w:hAnsi="Times New Roman"/>
      <w:b/>
      <w:sz w:val="24"/>
    </w:rPr>
  </w:style>
  <w:style w:type="character" w:styleId="ListLabel2">
    <w:name w:val="ListLabel 2"/>
    <w:qFormat/>
    <w:rPr>
      <w:rFonts w:ascii="Times New Roman" w:hAnsi="Times New Roman" w:cs="Symbol"/>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ascii="Times New Roman" w:hAnsi="Times New Roman"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cs="Wingdings"/>
      <w:sz w:val="18"/>
    </w:rPr>
  </w:style>
  <w:style w:type="character" w:styleId="ListLabel21">
    <w:name w:val="ListLabel 21"/>
    <w:qFormat/>
    <w:rPr>
      <w:rFonts w:cs="Courier New"/>
    </w:rPr>
  </w:style>
  <w:style w:type="character" w:styleId="ListLabel22">
    <w:name w:val="ListLabel 22"/>
    <w:qFormat/>
    <w:rPr>
      <w:rFonts w:cs="Wingdings"/>
    </w:rPr>
  </w:style>
  <w:style w:type="character" w:styleId="ListLabel23">
    <w:name w:val="ListLabel 23"/>
    <w:qFormat/>
    <w:rPr>
      <w:rFonts w:cs="Symbol"/>
    </w:rPr>
  </w:style>
  <w:style w:type="character" w:styleId="ListLabel24">
    <w:name w:val="ListLabel 24"/>
    <w:qFormat/>
    <w:rPr>
      <w:rFonts w:cs="Courier New"/>
    </w:rPr>
  </w:style>
  <w:style w:type="character" w:styleId="ListLabel25">
    <w:name w:val="ListLabel 25"/>
    <w:qFormat/>
    <w:rPr>
      <w:rFonts w:cs="Wingdings"/>
    </w:rPr>
  </w:style>
  <w:style w:type="character" w:styleId="ListLabel26">
    <w:name w:val="ListLabel 26"/>
    <w:qFormat/>
    <w:rPr>
      <w:rFonts w:cs="Symbol"/>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ascii="Times New Roman" w:hAnsi="Times New Roman"/>
      <w:b/>
    </w:rPr>
  </w:style>
  <w:style w:type="character" w:styleId="ListLabel30">
    <w:name w:val="ListLabel 30"/>
    <w:qFormat/>
    <w:rPr>
      <w:b/>
      <w:sz w:val="24"/>
      <w:szCs w:val="24"/>
    </w:rPr>
  </w:style>
  <w:style w:type="character" w:styleId="ListLabel31">
    <w:name w:val="ListLabel 31"/>
    <w:qFormat/>
    <w:rPr>
      <w:rFonts w:cs="Symbol"/>
      <w:b/>
      <w:sz w:val="24"/>
    </w:rPr>
  </w:style>
  <w:style w:type="character" w:styleId="ListLabel32">
    <w:name w:val="ListLabel 32"/>
    <w:qFormat/>
    <w:rPr>
      <w:rFonts w:ascii="Times New Roman" w:hAnsi="Times New Roman" w:cs="Symbol"/>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ascii="Times New Roman" w:hAnsi="Times New Roman"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ascii="Times New Roman" w:hAnsi="Times New Roman"/>
      <w:b/>
    </w:rPr>
  </w:style>
  <w:style w:type="character" w:styleId="ListLabel51">
    <w:name w:val="ListLabel 51"/>
    <w:qFormat/>
    <w:rPr>
      <w:rFonts w:ascii="Times New Roman" w:hAnsi="Times New Roman"/>
      <w:b/>
    </w:rPr>
  </w:style>
  <w:style w:type="character" w:styleId="ListLabel52">
    <w:name w:val="ListLabel 52"/>
    <w:qFormat/>
    <w:rPr>
      <w:rFonts w:cs="Symbol"/>
      <w:sz w:val="20"/>
      <w:szCs w:val="20"/>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b/>
    </w:rPr>
  </w:style>
  <w:style w:type="character" w:styleId="ListLabel62">
    <w:name w:val="ListLabel 62"/>
    <w:qFormat/>
    <w:rPr>
      <w:rFonts w:ascii="Times New Roman" w:hAnsi="Times New Roman"/>
      <w:b/>
      <w:sz w:val="24"/>
    </w:rPr>
  </w:style>
  <w:style w:type="character" w:styleId="ListLabel63">
    <w:name w:val="ListLabel 63"/>
    <w:qFormat/>
    <w:rPr>
      <w:rFonts w:ascii="Times New Roman" w:hAnsi="Times New Roman" w:cs="Symbol"/>
    </w:rPr>
  </w:style>
  <w:style w:type="character" w:styleId="ListLabel64">
    <w:name w:val="ListLabel 64"/>
    <w:qFormat/>
    <w:rPr>
      <w:rFonts w:cs="Courier New"/>
    </w:rPr>
  </w:style>
  <w:style w:type="character" w:styleId="ListLabel65">
    <w:name w:val="ListLabel 65"/>
    <w:qFormat/>
    <w:rPr>
      <w:rFonts w:cs="Wingdings"/>
    </w:rPr>
  </w:style>
  <w:style w:type="character" w:styleId="ListLabel66">
    <w:name w:val="ListLabel 66"/>
    <w:qFormat/>
    <w:rPr>
      <w:rFonts w:cs="Symbol"/>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cs="Symbol"/>
    </w:rPr>
  </w:style>
  <w:style w:type="character" w:styleId="ListLabel70">
    <w:name w:val="ListLabel 70"/>
    <w:qFormat/>
    <w:rPr>
      <w:rFonts w:cs="Courier New"/>
    </w:rPr>
  </w:style>
  <w:style w:type="character" w:styleId="ListLabel71">
    <w:name w:val="ListLabel 71"/>
    <w:qFormat/>
    <w:rPr>
      <w:rFonts w:cs="Wingdings"/>
    </w:rPr>
  </w:style>
  <w:style w:type="character" w:styleId="ListLabel72">
    <w:name w:val="ListLabel 72"/>
    <w:qFormat/>
    <w:rPr>
      <w:rFonts w:ascii="Times New Roman" w:hAnsi="Times New Roman" w:cs="Symbol"/>
    </w:rPr>
  </w:style>
  <w:style w:type="character" w:styleId="ListLabel73">
    <w:name w:val="ListLabel 73"/>
    <w:qFormat/>
    <w:rPr>
      <w:rFonts w:cs="Courier New"/>
    </w:rPr>
  </w:style>
  <w:style w:type="character" w:styleId="ListLabel74">
    <w:name w:val="ListLabel 74"/>
    <w:qFormat/>
    <w:rPr>
      <w:rFonts w:cs="Wingdings"/>
    </w:rPr>
  </w:style>
  <w:style w:type="character" w:styleId="ListLabel75">
    <w:name w:val="ListLabel 75"/>
    <w:qFormat/>
    <w:rPr>
      <w:rFonts w:cs="Symbol"/>
    </w:rPr>
  </w:style>
  <w:style w:type="character" w:styleId="ListLabel76">
    <w:name w:val="ListLabel 76"/>
    <w:qFormat/>
    <w:rPr>
      <w:rFonts w:cs="Courier New"/>
    </w:rPr>
  </w:style>
  <w:style w:type="character" w:styleId="ListLabel77">
    <w:name w:val="ListLabel 77"/>
    <w:qFormat/>
    <w:rPr>
      <w:rFonts w:cs="Wingdings"/>
    </w:rPr>
  </w:style>
  <w:style w:type="character" w:styleId="ListLabel78">
    <w:name w:val="ListLabel 78"/>
    <w:qFormat/>
    <w:rPr>
      <w:rFonts w:cs="Symbol"/>
    </w:rPr>
  </w:style>
  <w:style w:type="character" w:styleId="ListLabel79">
    <w:name w:val="ListLabel 79"/>
    <w:qFormat/>
    <w:rPr>
      <w:rFonts w:cs="Courier New"/>
    </w:rPr>
  </w:style>
  <w:style w:type="character" w:styleId="ListLabel80">
    <w:name w:val="ListLabel 80"/>
    <w:qFormat/>
    <w:rPr>
      <w:rFonts w:cs="Wingdings"/>
    </w:rPr>
  </w:style>
  <w:style w:type="character" w:styleId="ListLabel81">
    <w:name w:val="ListLabel 81"/>
    <w:qFormat/>
    <w:rPr>
      <w:rFonts w:cs="Wingdings"/>
      <w:sz w:val="18"/>
    </w:rPr>
  </w:style>
  <w:style w:type="character" w:styleId="ListLabel82">
    <w:name w:val="ListLabel 82"/>
    <w:qFormat/>
    <w:rPr>
      <w:rFonts w:cs="Courier New"/>
    </w:rPr>
  </w:style>
  <w:style w:type="character" w:styleId="ListLabel83">
    <w:name w:val="ListLabel 83"/>
    <w:qFormat/>
    <w:rPr>
      <w:rFonts w:cs="Wingdings"/>
    </w:rPr>
  </w:style>
  <w:style w:type="character" w:styleId="ListLabel84">
    <w:name w:val="ListLabel 84"/>
    <w:qFormat/>
    <w:rPr>
      <w:rFonts w:cs="Symbol"/>
    </w:rPr>
  </w:style>
  <w:style w:type="character" w:styleId="ListLabel85">
    <w:name w:val="ListLabel 85"/>
    <w:qFormat/>
    <w:rPr>
      <w:rFonts w:cs="Courier New"/>
    </w:rPr>
  </w:style>
  <w:style w:type="character" w:styleId="ListLabel86">
    <w:name w:val="ListLabel 86"/>
    <w:qFormat/>
    <w:rPr>
      <w:rFonts w:cs="Wingdings"/>
    </w:rPr>
  </w:style>
  <w:style w:type="character" w:styleId="ListLabel87">
    <w:name w:val="ListLabel 87"/>
    <w:qFormat/>
    <w:rPr>
      <w:rFonts w:cs="Symbol"/>
    </w:rPr>
  </w:style>
  <w:style w:type="character" w:styleId="ListLabel88">
    <w:name w:val="ListLabel 88"/>
    <w:qFormat/>
    <w:rPr>
      <w:rFonts w:cs="Courier New"/>
    </w:rPr>
  </w:style>
  <w:style w:type="character" w:styleId="ListLabel89">
    <w:name w:val="ListLabel 89"/>
    <w:qFormat/>
    <w:rPr>
      <w:rFonts w:cs="Wingdings"/>
    </w:rPr>
  </w:style>
  <w:style w:type="character" w:styleId="ListLabel90">
    <w:name w:val="ListLabel 90"/>
    <w:qFormat/>
    <w:rPr>
      <w:rFonts w:ascii="Times New Roman" w:hAnsi="Times New Roman"/>
      <w:b/>
    </w:rPr>
  </w:style>
  <w:style w:type="character" w:styleId="ListLabel91">
    <w:name w:val="ListLabel 91"/>
    <w:qFormat/>
    <w:rPr>
      <w:b/>
      <w:sz w:val="24"/>
      <w:szCs w:val="24"/>
    </w:rPr>
  </w:style>
  <w:style w:type="character" w:styleId="ListLabel92">
    <w:name w:val="ListLabel 92"/>
    <w:qFormat/>
    <w:rPr>
      <w:rFonts w:cs="Symbol"/>
      <w:b/>
      <w:sz w:val="24"/>
    </w:rPr>
  </w:style>
  <w:style w:type="character" w:styleId="ListLabel93">
    <w:name w:val="ListLabel 93"/>
    <w:qFormat/>
    <w:rPr>
      <w:rFonts w:ascii="Times New Roman" w:hAnsi="Times New Roman" w:cs="Symbol"/>
    </w:rPr>
  </w:style>
  <w:style w:type="character" w:styleId="ListLabel94">
    <w:name w:val="ListLabel 94"/>
    <w:qFormat/>
    <w:rPr>
      <w:rFonts w:cs="Courier New"/>
    </w:rPr>
  </w:style>
  <w:style w:type="character" w:styleId="ListLabel95">
    <w:name w:val="ListLabel 95"/>
    <w:qFormat/>
    <w:rPr>
      <w:rFonts w:cs="Wingdings"/>
    </w:rPr>
  </w:style>
  <w:style w:type="character" w:styleId="ListLabel96">
    <w:name w:val="ListLabel 96"/>
    <w:qFormat/>
    <w:rPr>
      <w:rFonts w:cs="Symbol"/>
    </w:rPr>
  </w:style>
  <w:style w:type="character" w:styleId="ListLabel97">
    <w:name w:val="ListLabel 97"/>
    <w:qFormat/>
    <w:rPr>
      <w:rFonts w:cs="Courier New"/>
    </w:rPr>
  </w:style>
  <w:style w:type="character" w:styleId="ListLabel98">
    <w:name w:val="ListLabel 98"/>
    <w:qFormat/>
    <w:rPr>
      <w:rFonts w:cs="Wingdings"/>
    </w:rPr>
  </w:style>
  <w:style w:type="character" w:styleId="ListLabel99">
    <w:name w:val="ListLabel 99"/>
    <w:qFormat/>
    <w:rPr>
      <w:rFonts w:cs="Symbol"/>
    </w:rPr>
  </w:style>
  <w:style w:type="character" w:styleId="ListLabel100">
    <w:name w:val="ListLabel 100"/>
    <w:qFormat/>
    <w:rPr>
      <w:rFonts w:cs="Courier New"/>
    </w:rPr>
  </w:style>
  <w:style w:type="character" w:styleId="ListLabel101">
    <w:name w:val="ListLabel 101"/>
    <w:qFormat/>
    <w:rPr>
      <w:rFonts w:cs="Wingdings"/>
    </w:rPr>
  </w:style>
  <w:style w:type="character" w:styleId="ListLabel102">
    <w:name w:val="ListLabel 102"/>
    <w:qFormat/>
    <w:rPr>
      <w:rFonts w:ascii="Times New Roman" w:hAnsi="Times New Roman" w:cs="Symbol"/>
    </w:rPr>
  </w:style>
  <w:style w:type="character" w:styleId="ListLabel103">
    <w:name w:val="ListLabel 103"/>
    <w:qFormat/>
    <w:rPr>
      <w:rFonts w:cs="Courier New"/>
    </w:rPr>
  </w:style>
  <w:style w:type="character" w:styleId="ListLabel104">
    <w:name w:val="ListLabel 104"/>
    <w:qFormat/>
    <w:rPr>
      <w:rFonts w:cs="Wingdings"/>
    </w:rPr>
  </w:style>
  <w:style w:type="character" w:styleId="ListLabel105">
    <w:name w:val="ListLabel 105"/>
    <w:qFormat/>
    <w:rPr>
      <w:rFonts w:cs="Symbol"/>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Symbol"/>
    </w:rPr>
  </w:style>
  <w:style w:type="character" w:styleId="ListLabel109">
    <w:name w:val="ListLabel 109"/>
    <w:qFormat/>
    <w:rPr>
      <w:rFonts w:cs="Courier New"/>
    </w:rPr>
  </w:style>
  <w:style w:type="character" w:styleId="ListLabel110">
    <w:name w:val="ListLabel 110"/>
    <w:qFormat/>
    <w:rPr>
      <w:rFonts w:cs="Wingdings"/>
    </w:rPr>
  </w:style>
  <w:style w:type="character" w:styleId="ListLabel111">
    <w:name w:val="ListLabel 111"/>
    <w:qFormat/>
    <w:rPr>
      <w:rFonts w:ascii="Times New Roman" w:hAnsi="Times New Roman"/>
      <w:b/>
    </w:rPr>
  </w:style>
  <w:style w:type="character" w:styleId="ListLabel112">
    <w:name w:val="ListLabel 112"/>
    <w:qFormat/>
    <w:rPr>
      <w:rFonts w:ascii="Times New Roman" w:hAnsi="Times New Roman"/>
      <w:b/>
    </w:rPr>
  </w:style>
  <w:style w:type="character" w:styleId="ListLabel113">
    <w:name w:val="ListLabel 113"/>
    <w:qFormat/>
    <w:rPr>
      <w:rFonts w:cs="Symbol"/>
      <w:sz w:val="20"/>
      <w:szCs w:val="20"/>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rPr>
  </w:style>
  <w:style w:type="character" w:styleId="ListLabel120">
    <w:name w:val="ListLabel 120"/>
    <w:qFormat/>
    <w:rPr>
      <w:rFonts w:cs="Courier New"/>
    </w:rPr>
  </w:style>
  <w:style w:type="character" w:styleId="ListLabel121">
    <w:name w:val="ListLabel 121"/>
    <w:qFormat/>
    <w:rPr>
      <w:rFonts w:cs="Wingdings"/>
    </w:rPr>
  </w:style>
  <w:style w:type="character" w:styleId="ListLabel122">
    <w:name w:val="ListLabel 122"/>
    <w:qFormat/>
    <w:rPr>
      <w:b/>
    </w:rPr>
  </w:style>
  <w:style w:type="paragraph" w:styleId="Ttulo" w:customStyle="1">
    <w:name w:val="Título"/>
    <w:next w:val="Corpodetexto"/>
    <w:qFormat/>
    <w:pPr>
      <w:keepNext/>
      <w:widowControl w:val="false"/>
      <w:spacing w:before="240" w:after="120"/>
      <w:textAlignment w:val="baseline"/>
    </w:pPr>
    <w:rPr>
      <w:rFonts w:ascii="Liberation Sans" w:hAnsi="Liberation Sans" w:eastAsia="Microsoft YaHei" w:cs="Mangal"/>
      <w:color w:val="auto"/>
      <w:sz w:val="28"/>
      <w:szCs w:val="28"/>
      <w:lang w:val="pt-BR" w:eastAsia="zh-CN" w:bidi="hi-IN"/>
    </w:rPr>
  </w:style>
  <w:style w:type="paragraph" w:styleId="Corpodetexto">
    <w:name w:val="Body Text"/>
    <w:basedOn w:val="Normal"/>
    <w:pPr>
      <w:suppressAutoHyphens w:val="false"/>
      <w:spacing w:lineRule="auto" w:line="360"/>
      <w:jc w:val="both"/>
      <w:textAlignment w:val="auto"/>
    </w:pPr>
    <w:rPr>
      <w:rFonts w:ascii="Arial Narrow" w:hAnsi="Arial Narrow" w:eastAsia="Times New Roman" w:cs="Times New Roman"/>
      <w:i/>
    </w:rPr>
  </w:style>
  <w:style w:type="paragraph" w:styleId="Lista">
    <w:name w:val="List"/>
    <w:pPr>
      <w:widowControl w:val="false"/>
      <w:textAlignment w:val="baseline"/>
    </w:pPr>
    <w:rPr>
      <w:rFonts w:ascii="Liberation Serif" w:hAnsi="Liberation Serif" w:eastAsia="SimSun" w:cs="Mangal"/>
      <w:color w:val="auto"/>
      <w:sz w:val="24"/>
      <w:szCs w:val="24"/>
      <w:lang w:val="pt-BR" w:eastAsia="zh-CN" w:bidi="hi-IN"/>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qFormat/>
    <w:pPr>
      <w:widowControl w:val="false"/>
      <w:suppressLineNumbers/>
      <w:textAlignment w:val="baseline"/>
    </w:pPr>
    <w:rPr>
      <w:rFonts w:ascii="Liberation Serif" w:hAnsi="Liberation Serif" w:eastAsia="SimSun" w:cs="Mangal"/>
      <w:color w:val="auto"/>
      <w:sz w:val="24"/>
      <w:szCs w:val="24"/>
      <w:lang w:val="pt-BR" w:eastAsia="zh-CN" w:bidi="hi-IN"/>
    </w:rPr>
  </w:style>
  <w:style w:type="paragraph" w:styleId="Standard" w:customStyle="1">
    <w:name w:val="Standard"/>
    <w:qFormat/>
    <w:pPr>
      <w:widowControl/>
      <w:suppressAutoHyphens w:val="true"/>
      <w:bidi w:val="0"/>
      <w:jc w:val="left"/>
      <w:textAlignment w:val="baseline"/>
    </w:pPr>
    <w:rPr>
      <w:rFonts w:ascii="Liberation Serif" w:hAnsi="Liberation Serif" w:eastAsia="SimSun" w:cs="Mangal"/>
      <w:color w:val="00000A"/>
      <w:sz w:val="24"/>
      <w:szCs w:val="24"/>
      <w:lang w:val="pt-BR" w:eastAsia="zh-CN" w:bidi="hi-IN"/>
    </w:rPr>
  </w:style>
  <w:style w:type="paragraph" w:styleId="Textbody" w:customStyle="1">
    <w:name w:val="Text body"/>
    <w:basedOn w:val="Standard"/>
    <w:qFormat/>
    <w:pPr>
      <w:spacing w:lineRule="auto" w:line="288" w:before="0" w:after="140"/>
    </w:pPr>
    <w:rPr/>
  </w:style>
  <w:style w:type="paragraph" w:styleId="Caption">
    <w:name w:val="caption"/>
    <w:basedOn w:val="Standard"/>
    <w:qFormat/>
    <w:pPr>
      <w:suppressLineNumbers/>
      <w:spacing w:before="120" w:after="120"/>
    </w:pPr>
    <w:rPr>
      <w:i/>
      <w:iCs/>
    </w:rPr>
  </w:style>
  <w:style w:type="paragraph" w:styleId="ListParagraph">
    <w:name w:val="List Paragraph"/>
    <w:basedOn w:val="Normal"/>
    <w:qFormat/>
    <w:pPr>
      <w:ind w:left="720" w:hanging="0"/>
    </w:pPr>
    <w:rPr>
      <w:szCs w:val="21"/>
    </w:rPr>
  </w:style>
  <w:style w:type="paragraph" w:styleId="NoSpacing">
    <w:name w:val="No Spacing"/>
    <w:qFormat/>
    <w:pPr>
      <w:widowControl/>
      <w:suppressAutoHyphens w:val="true"/>
      <w:bidi w:val="0"/>
      <w:jc w:val="left"/>
      <w:textAlignment w:val="baseline"/>
    </w:pPr>
    <w:rPr>
      <w:rFonts w:ascii="Liberation Serif" w:hAnsi="Liberation Serif" w:eastAsia="SimSun" w:cs="Mangal"/>
      <w:color w:val="00000A"/>
      <w:sz w:val="24"/>
      <w:szCs w:val="21"/>
      <w:lang w:val="pt-BR" w:eastAsia="zh-CN" w:bidi="hi-IN"/>
    </w:rPr>
  </w:style>
  <w:style w:type="paragraph" w:styleId="BodyTextIndent2">
    <w:name w:val="Body Text Indent 2"/>
    <w:basedOn w:val="Normal"/>
    <w:qFormat/>
    <w:pPr>
      <w:suppressAutoHyphens w:val="false"/>
      <w:spacing w:lineRule="auto" w:line="480" w:before="0" w:after="120"/>
      <w:ind w:left="283" w:hanging="0"/>
      <w:textAlignment w:val="auto"/>
    </w:pPr>
    <w:rPr>
      <w:rFonts w:ascii="Times New Roman" w:hAnsi="Times New Roman" w:eastAsia="Times New Roman" w:cs="Times New Roman"/>
    </w:rPr>
  </w:style>
  <w:style w:type="paragraph" w:styleId="BodyText2">
    <w:name w:val="Body Text 2"/>
    <w:basedOn w:val="Normal"/>
    <w:qFormat/>
    <w:pPr>
      <w:suppressAutoHyphens w:val="false"/>
      <w:spacing w:lineRule="auto" w:line="480" w:before="0" w:after="120"/>
      <w:textAlignment w:val="auto"/>
    </w:pPr>
    <w:rPr>
      <w:rFonts w:ascii="Times New Roman" w:hAnsi="Times New Roman" w:eastAsia="Times New Roman" w:cs="Times New Roman"/>
    </w:rPr>
  </w:style>
  <w:style w:type="paragraph" w:styleId="BodyTextIndent3">
    <w:name w:val="Body Text Indent 3"/>
    <w:basedOn w:val="Normal"/>
    <w:qFormat/>
    <w:pPr>
      <w:suppressAutoHyphens w:val="false"/>
      <w:spacing w:before="0" w:after="120"/>
      <w:ind w:left="360" w:hanging="0"/>
      <w:textAlignment w:val="auto"/>
    </w:pPr>
    <w:rPr>
      <w:rFonts w:ascii="Times New Roman" w:hAnsi="Times New Roman" w:eastAsia="Times New Roman" w:cs="Times New Roman"/>
      <w:color w:val="00000A"/>
      <w:sz w:val="16"/>
      <w:szCs w:val="16"/>
      <w:lang w:eastAsia="pt-BR" w:bidi="ar-SA"/>
    </w:rPr>
  </w:style>
  <w:style w:type="paragraph" w:styleId="Subpar" w:customStyle="1">
    <w:name w:val="subpar"/>
    <w:basedOn w:val="BodyTextIndent3"/>
    <w:qFormat/>
    <w:pPr>
      <w:spacing w:before="120" w:after="120"/>
      <w:jc w:val="both"/>
      <w:outlineLvl w:val="2"/>
    </w:pPr>
    <w:rPr>
      <w:sz w:val="24"/>
      <w:szCs w:val="20"/>
      <w:lang w:val="en-US" w:eastAsia="en-US"/>
    </w:rPr>
  </w:style>
  <w:style w:type="paragraph" w:styleId="Paragraph" w:customStyle="1">
    <w:name w:val="Paragraph"/>
    <w:basedOn w:val="Corpodetextorecuado"/>
    <w:qFormat/>
    <w:pPr>
      <w:suppressAutoHyphens w:val="false"/>
      <w:spacing w:before="120" w:after="0"/>
      <w:ind w:left="1440" w:hanging="360"/>
      <w:jc w:val="both"/>
      <w:textAlignment w:val="auto"/>
      <w:outlineLvl w:val="1"/>
    </w:pPr>
    <w:rPr>
      <w:rFonts w:ascii="Times New Roman" w:hAnsi="Times New Roman" w:eastAsia="Times New Roman" w:cs="Times New Roman"/>
      <w:color w:val="00000A"/>
      <w:szCs w:val="20"/>
      <w:lang w:val="es-ES" w:eastAsia="en-US" w:bidi="ar-SA"/>
    </w:rPr>
  </w:style>
  <w:style w:type="paragraph" w:styleId="Corpodetextorecuado">
    <w:name w:val="Body Text Indent"/>
    <w:basedOn w:val="Normal"/>
    <w:pPr>
      <w:spacing w:before="0" w:after="120"/>
      <w:ind w:left="283" w:hanging="0"/>
    </w:pPr>
    <w:rPr>
      <w:szCs w:val="21"/>
    </w:rPr>
  </w:style>
  <w:style w:type="paragraph" w:styleId="Contedodoquadro" w:customStyle="1">
    <w:name w:val="Conteúdo do quadro"/>
    <w:basedOn w:val="Normal"/>
    <w:qFormat/>
    <w:pPr>
      <w:suppressAutoHyphens w:val="false"/>
      <w:textAlignment w:val="auto"/>
    </w:pPr>
    <w:rPr>
      <w:rFonts w:ascii="Times New Roman" w:hAnsi="Times New Roman" w:eastAsia="Times New Roman" w:cs="Times New Roman"/>
      <w:color w:val="00000A"/>
      <w:lang w:eastAsia="pt-BR" w:bidi="ar-SA"/>
    </w:rPr>
  </w:style>
  <w:style w:type="paragraph" w:styleId="Cabealho">
    <w:name w:val="Header"/>
    <w:basedOn w:val="Normal"/>
    <w:pPr>
      <w:tabs>
        <w:tab w:val="center" w:pos="4252" w:leader="none"/>
        <w:tab w:val="right" w:pos="8504" w:leader="none"/>
      </w:tabs>
    </w:pPr>
    <w:rPr>
      <w:szCs w:val="21"/>
    </w:rPr>
  </w:style>
  <w:style w:type="paragraph" w:styleId="Rodap">
    <w:name w:val="Footer"/>
    <w:basedOn w:val="Normal"/>
    <w:pPr>
      <w:tabs>
        <w:tab w:val="center" w:pos="4252" w:leader="none"/>
        <w:tab w:val="right" w:pos="8504" w:leader="none"/>
      </w:tabs>
    </w:pPr>
    <w:rPr>
      <w:szCs w:val="21"/>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Application>LibreOffice/5.1.2.2$Windows_x86 LibreOffice_project/d3bf12ecb743fc0d20e0be0c58ca359301eb705f</Application>
  <Pages>30</Pages>
  <Words>7089</Words>
  <Characters>41712</Characters>
  <CharactersWithSpaces>48525</CharactersWithSpaces>
  <Paragraphs>528</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2018-12-06T16:04:00Z</dcterms:created>
  <dc:creator/>
  <dc:description/>
  <dc:language>pt-BR</dc:language>
  <cp:lastModifiedBy/>
  <dcterms:modified xsi:type="dcterms:W3CDTF">2019-03-05T09:41:27Z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